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C793" w14:textId="77777777" w:rsidR="003324C3" w:rsidRPr="00073924" w:rsidRDefault="003324C3" w:rsidP="00517D38">
      <w:pPr>
        <w:pStyle w:val="Heading1"/>
        <w:ind w:left="720"/>
        <w:jc w:val="center"/>
        <w:rPr>
          <w:sz w:val="22"/>
          <w:szCs w:val="22"/>
        </w:rPr>
      </w:pPr>
      <w:r w:rsidRPr="00073924">
        <w:rPr>
          <w:sz w:val="22"/>
          <w:szCs w:val="22"/>
        </w:rPr>
        <w:t>LICENSED ELECTRONIC PRODUCTS</w:t>
      </w:r>
    </w:p>
    <w:p w14:paraId="343BF3B2" w14:textId="058DEA1B" w:rsidR="689D096F" w:rsidRPr="00073924" w:rsidRDefault="689D096F" w:rsidP="00517D38">
      <w:pPr>
        <w:rPr>
          <w:szCs w:val="22"/>
        </w:rPr>
      </w:pPr>
    </w:p>
    <w:p w14:paraId="7B00B73F" w14:textId="77777777" w:rsidR="00B87D91" w:rsidRPr="00073924" w:rsidRDefault="00B87D91" w:rsidP="00517D38">
      <w:pPr>
        <w:pStyle w:val="Heading1"/>
        <w:rPr>
          <w:sz w:val="22"/>
          <w:szCs w:val="22"/>
        </w:rPr>
      </w:pPr>
      <w:r w:rsidRPr="00073924">
        <w:rPr>
          <w:sz w:val="22"/>
          <w:szCs w:val="22"/>
        </w:rPr>
        <w:t>APPENDIX C</w:t>
      </w:r>
      <w:r w:rsidR="003023D0" w:rsidRPr="00073924">
        <w:rPr>
          <w:sz w:val="22"/>
          <w:szCs w:val="22"/>
        </w:rPr>
        <w:t>(a)</w:t>
      </w:r>
      <w:r w:rsidR="008F3763" w:rsidRPr="00073924">
        <w:rPr>
          <w:sz w:val="22"/>
          <w:szCs w:val="22"/>
        </w:rPr>
        <w:t>:</w:t>
      </w:r>
      <w:r w:rsidRPr="00073924">
        <w:rPr>
          <w:sz w:val="22"/>
          <w:szCs w:val="22"/>
        </w:rPr>
        <w:t xml:space="preserve"> JOURNAL BACKFILES</w:t>
      </w:r>
      <w:r w:rsidR="003023D0" w:rsidRPr="00073924">
        <w:rPr>
          <w:sz w:val="22"/>
          <w:szCs w:val="22"/>
        </w:rPr>
        <w:t xml:space="preserve"> – </w:t>
      </w:r>
      <w:r w:rsidR="0086224B" w:rsidRPr="00073924">
        <w:rPr>
          <w:sz w:val="22"/>
          <w:szCs w:val="22"/>
        </w:rPr>
        <w:t>One-</w:t>
      </w:r>
      <w:r w:rsidR="00356189" w:rsidRPr="00073924">
        <w:rPr>
          <w:sz w:val="22"/>
          <w:szCs w:val="22"/>
        </w:rPr>
        <w:t>t</w:t>
      </w:r>
      <w:r w:rsidR="0086224B" w:rsidRPr="00073924">
        <w:rPr>
          <w:sz w:val="22"/>
          <w:szCs w:val="22"/>
        </w:rPr>
        <w:t>ime license</w:t>
      </w:r>
    </w:p>
    <w:p w14:paraId="6582E5F1" w14:textId="77777777" w:rsidR="00555289" w:rsidRPr="00073924" w:rsidRDefault="0078399B" w:rsidP="00517D38">
      <w:pPr>
        <w:rPr>
          <w:szCs w:val="22"/>
        </w:rPr>
      </w:pPr>
      <w:r w:rsidRPr="00073924">
        <w:rPr>
          <w:szCs w:val="22"/>
        </w:rPr>
        <w:t>Customer:</w:t>
      </w:r>
      <w:r w:rsidR="00A02D98" w:rsidRPr="00073924">
        <w:rPr>
          <w:szCs w:val="22"/>
        </w:rPr>
        <w:t xml:space="preserve"> </w:t>
      </w:r>
    </w:p>
    <w:p w14:paraId="69BC4AB4" w14:textId="77777777" w:rsidR="00555289" w:rsidRPr="00073924" w:rsidRDefault="00555289" w:rsidP="00517D38">
      <w:pPr>
        <w:tabs>
          <w:tab w:val="left" w:pos="720"/>
          <w:tab w:val="left" w:pos="5040"/>
          <w:tab w:val="left" w:pos="5760"/>
        </w:tabs>
        <w:rPr>
          <w:szCs w:val="22"/>
        </w:rPr>
      </w:pPr>
    </w:p>
    <w:p w14:paraId="778ADAC4" w14:textId="77777777" w:rsidR="001509C8" w:rsidRPr="00073924" w:rsidRDefault="00F23949" w:rsidP="00517D38">
      <w:pPr>
        <w:tabs>
          <w:tab w:val="left" w:pos="720"/>
          <w:tab w:val="left" w:pos="5040"/>
          <w:tab w:val="left" w:pos="5760"/>
        </w:tabs>
        <w:rPr>
          <w:szCs w:val="22"/>
        </w:rPr>
      </w:pPr>
      <w:r w:rsidRPr="00073924">
        <w:rPr>
          <w:szCs w:val="22"/>
        </w:rPr>
        <w:t>Licensed Electronic Journal Backfiles are the electronic editions of Wiley journal content published in years designated as part of a backfile package to which the Customer has access under this Agreement, including tables of content, abstracts, full text and illustrations and any additional electronic journal content not included in the print versions of the journals</w:t>
      </w:r>
      <w:r w:rsidR="00B80F82" w:rsidRPr="00073924">
        <w:rPr>
          <w:szCs w:val="22"/>
        </w:rPr>
        <w:t xml:space="preserve">. </w:t>
      </w:r>
    </w:p>
    <w:p w14:paraId="24F78951" w14:textId="77777777" w:rsidR="00B80F82" w:rsidRPr="00073924" w:rsidRDefault="00B80F82" w:rsidP="00517D38">
      <w:pPr>
        <w:tabs>
          <w:tab w:val="left" w:pos="720"/>
          <w:tab w:val="left" w:pos="5040"/>
          <w:tab w:val="left" w:pos="5760"/>
        </w:tabs>
        <w:rPr>
          <w:szCs w:val="22"/>
        </w:rPr>
      </w:pPr>
    </w:p>
    <w:p w14:paraId="475BA27F" w14:textId="77777777" w:rsidR="009F496D" w:rsidRPr="00073924" w:rsidRDefault="009F496D" w:rsidP="00517D38">
      <w:pPr>
        <w:pStyle w:val="ProductAppendecisLevel4"/>
        <w:numPr>
          <w:ilvl w:val="0"/>
          <w:numId w:val="9"/>
        </w:numPr>
        <w:rPr>
          <w:rFonts w:cs="Times New Roman"/>
          <w:lang w:val="en-US"/>
        </w:rPr>
      </w:pPr>
      <w:r w:rsidRPr="00073924">
        <w:rPr>
          <w:rFonts w:cs="Times New Roman"/>
          <w:b/>
          <w:bCs/>
          <w:lang w:val="en-US"/>
        </w:rPr>
        <w:t>Access:</w:t>
      </w:r>
      <w:r w:rsidRPr="00073924">
        <w:rPr>
          <w:rFonts w:cs="Times New Roman"/>
          <w:lang w:val="en-US"/>
        </w:rPr>
        <w:t xml:space="preserve"> A One-Time license will entitle the Customer to the Journal Backfiles that are available during the license term. </w:t>
      </w:r>
    </w:p>
    <w:p w14:paraId="2175B336" w14:textId="77777777" w:rsidR="009F496D" w:rsidRPr="00073924" w:rsidRDefault="009F496D" w:rsidP="00517D38">
      <w:pPr>
        <w:pStyle w:val="ProductAppendecisLevel4"/>
        <w:numPr>
          <w:ilvl w:val="1"/>
          <w:numId w:val="9"/>
        </w:numPr>
        <w:rPr>
          <w:rFonts w:cs="Times New Roman"/>
          <w:lang w:val="en-US"/>
        </w:rPr>
      </w:pPr>
      <w:r w:rsidRPr="00073924">
        <w:rPr>
          <w:rFonts w:cs="Times New Roman"/>
          <w:spacing w:val="-2"/>
          <w:lang w:val="en-US"/>
        </w:rPr>
        <w:t xml:space="preserve">The titles British Journal of Radiology (BJR) and </w:t>
      </w:r>
      <w:proofErr w:type="spellStart"/>
      <w:r w:rsidRPr="00073924">
        <w:rPr>
          <w:rFonts w:cs="Times New Roman"/>
          <w:spacing w:val="-2"/>
          <w:lang w:val="en-US"/>
        </w:rPr>
        <w:t>Dentomaxillofacial</w:t>
      </w:r>
      <w:proofErr w:type="spellEnd"/>
      <w:r w:rsidRPr="00073924">
        <w:rPr>
          <w:rFonts w:cs="Times New Roman"/>
          <w:spacing w:val="-2"/>
          <w:lang w:val="en-US"/>
        </w:rPr>
        <w:t xml:space="preserve"> Radiology (DMFR) are accessed via </w:t>
      </w:r>
      <w:hyperlink r:id="rId10" w:history="1">
        <w:r w:rsidRPr="00073924">
          <w:rPr>
            <w:rStyle w:val="Hyperlink"/>
            <w:rFonts w:cs="Times New Roman"/>
            <w:spacing w:val="-2"/>
            <w:lang w:val="en-US"/>
          </w:rPr>
          <w:t>https://www.birpublications.org/action/showLogin</w:t>
        </w:r>
      </w:hyperlink>
      <w:r w:rsidRPr="00073924">
        <w:rPr>
          <w:rFonts w:cs="Times New Roman"/>
          <w:spacing w:val="-2"/>
          <w:lang w:val="en-US"/>
        </w:rPr>
        <w:t xml:space="preserve">. Usage statistics are obtained via </w:t>
      </w:r>
      <w:hyperlink r:id="rId11" w:history="1">
        <w:r w:rsidRPr="00073924">
          <w:rPr>
            <w:rStyle w:val="Hyperlink"/>
            <w:rFonts w:cs="Times New Roman"/>
            <w:spacing w:val="-2"/>
            <w:lang w:val="en-US"/>
          </w:rPr>
          <w:t>https://www.birpublications.org/page/usagedata</w:t>
        </w:r>
      </w:hyperlink>
      <w:r w:rsidRPr="00073924">
        <w:rPr>
          <w:rFonts w:cs="Times New Roman"/>
          <w:spacing w:val="-2"/>
          <w:lang w:val="en-US"/>
        </w:rPr>
        <w:t>. Wiley may change the URLs at its discretion</w:t>
      </w:r>
      <w:r w:rsidRPr="00073924">
        <w:rPr>
          <w:rFonts w:cs="Times New Roman"/>
          <w:lang w:val="en-US"/>
        </w:rPr>
        <w:t>.</w:t>
      </w:r>
    </w:p>
    <w:p w14:paraId="3B68E6A0" w14:textId="77777777" w:rsidR="009F496D" w:rsidRPr="00073924" w:rsidRDefault="009F496D" w:rsidP="00517D38">
      <w:pPr>
        <w:pStyle w:val="ProductAppendecisBody"/>
        <w:rPr>
          <w:rFonts w:cs="Times New Roman"/>
          <w:lang w:val="en-US"/>
        </w:rPr>
      </w:pPr>
    </w:p>
    <w:p w14:paraId="426450F5" w14:textId="77777777" w:rsidR="009F496D" w:rsidRPr="00073924" w:rsidRDefault="009F496D" w:rsidP="00517D38">
      <w:pPr>
        <w:pStyle w:val="ProductAppendecisLevel4"/>
        <w:numPr>
          <w:ilvl w:val="0"/>
          <w:numId w:val="9"/>
        </w:numPr>
        <w:rPr>
          <w:rFonts w:cs="Times New Roman"/>
          <w:lang w:val="en-US"/>
        </w:rPr>
      </w:pPr>
      <w:r w:rsidRPr="00073924">
        <w:rPr>
          <w:rFonts w:cs="Times New Roman"/>
          <w:b/>
          <w:bCs/>
          <w:lang w:val="en-US"/>
        </w:rPr>
        <w:t>Perpetual Access:</w:t>
      </w:r>
      <w:r w:rsidRPr="00073924">
        <w:rPr>
          <w:rFonts w:cs="Times New Roman"/>
          <w:lang w:val="en-US"/>
        </w:rPr>
        <w:t xml:space="preserve"> Wiley will provide the Customer with perpetual access to the full text of the Licensed Electronic Journal Backfiles where Wiley has the rights to deliver this. Retrospective content for BJR and DMFR is provided starting on 2008. </w:t>
      </w:r>
    </w:p>
    <w:p w14:paraId="1D828FC3" w14:textId="77777777" w:rsidR="00F108B7" w:rsidRPr="00073924" w:rsidRDefault="00F108B7" w:rsidP="00517D38">
      <w:pPr>
        <w:pStyle w:val="ListParagraph"/>
        <w:keepNext/>
        <w:keepLines/>
        <w:numPr>
          <w:ilvl w:val="1"/>
          <w:numId w:val="9"/>
        </w:numPr>
        <w:spacing w:after="0" w:line="240" w:lineRule="auto"/>
        <w:rPr>
          <w:rFonts w:ascii="Times New Roman" w:hAnsi="Times New Roman"/>
        </w:rPr>
      </w:pPr>
      <w:bookmarkStart w:id="0" w:name="_Hlk110274880"/>
      <w:r w:rsidRPr="00073924">
        <w:rPr>
          <w:rFonts w:ascii="Times New Roman" w:hAnsi="Times New Roman"/>
        </w:rPr>
        <w:t>The content for which Perpetual Access is guaranteed is that available during the calendar year in which the Electronic Product was licensed.</w:t>
      </w:r>
    </w:p>
    <w:p w14:paraId="7495FF65" w14:textId="77777777" w:rsidR="00DF70BA" w:rsidRPr="00073924" w:rsidRDefault="00DF70BA" w:rsidP="00517D38">
      <w:bookmarkStart w:id="1" w:name="_Hlk110274947"/>
      <w:bookmarkEnd w:id="0"/>
    </w:p>
    <w:p w14:paraId="3973B197" w14:textId="77777777" w:rsidR="00DF70BA" w:rsidRPr="00073924" w:rsidRDefault="00DF70BA" w:rsidP="00517D38">
      <w:pPr>
        <w:pStyle w:val="ListParagraph"/>
        <w:keepNext/>
        <w:keepLines/>
        <w:numPr>
          <w:ilvl w:val="0"/>
          <w:numId w:val="9"/>
        </w:numPr>
        <w:spacing w:after="0" w:line="240" w:lineRule="auto"/>
        <w:rPr>
          <w:rFonts w:ascii="Times New Roman" w:hAnsi="Times New Roman"/>
        </w:rPr>
      </w:pPr>
      <w:r w:rsidRPr="00073924">
        <w:rPr>
          <w:rFonts w:ascii="Times New Roman" w:hAnsi="Times New Roman"/>
          <w:b/>
          <w:bCs/>
        </w:rPr>
        <w:t xml:space="preserve">Fees: </w:t>
      </w:r>
      <w:r w:rsidRPr="00073924">
        <w:rPr>
          <w:rFonts w:ascii="Times New Roman" w:hAnsi="Times New Roman"/>
        </w:rPr>
        <w:t>Journal Backfiles fees is a one-time fee based on the Customer’s number of FTEs.</w:t>
      </w:r>
    </w:p>
    <w:p w14:paraId="2670B6EA" w14:textId="77777777" w:rsidR="00DF70BA" w:rsidRPr="00073924" w:rsidRDefault="00DF70BA" w:rsidP="00517D38">
      <w:pPr>
        <w:pStyle w:val="ListParagraph"/>
        <w:keepNext/>
        <w:keepLines/>
        <w:numPr>
          <w:ilvl w:val="1"/>
          <w:numId w:val="9"/>
        </w:numPr>
        <w:spacing w:after="0" w:line="240" w:lineRule="auto"/>
        <w:rPr>
          <w:rFonts w:ascii="Times New Roman" w:hAnsi="Times New Roman"/>
        </w:rPr>
      </w:pPr>
      <w:r w:rsidRPr="00073924">
        <w:rPr>
          <w:rFonts w:ascii="Times New Roman" w:hAnsi="Times New Roman"/>
        </w:rPr>
        <w:t>The titles for the initial license are listed with fees below.</w:t>
      </w:r>
    </w:p>
    <w:tbl>
      <w:tblPr>
        <w:tblW w:w="949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870"/>
        <w:gridCol w:w="1370"/>
        <w:gridCol w:w="1362"/>
        <w:gridCol w:w="1277"/>
      </w:tblGrid>
      <w:tr w:rsidR="00DF70BA" w:rsidRPr="00073924" w14:paraId="74690607" w14:textId="77777777" w:rsidTr="00073924">
        <w:tc>
          <w:tcPr>
            <w:tcW w:w="1620" w:type="dxa"/>
            <w:shd w:val="clear" w:color="auto" w:fill="auto"/>
            <w:noWrap/>
            <w:vAlign w:val="center"/>
            <w:hideMark/>
          </w:tcPr>
          <w:p w14:paraId="4D25E64E" w14:textId="77777777" w:rsidR="00DF70BA" w:rsidRPr="00073924" w:rsidRDefault="00DF70BA" w:rsidP="00517D38">
            <w:pPr>
              <w:rPr>
                <w:b/>
                <w:bCs/>
              </w:rPr>
            </w:pPr>
            <w:r w:rsidRPr="00073924">
              <w:rPr>
                <w:b/>
                <w:bCs/>
              </w:rPr>
              <w:t>Catalog or Collection</w:t>
            </w:r>
          </w:p>
        </w:tc>
        <w:tc>
          <w:tcPr>
            <w:tcW w:w="3870" w:type="dxa"/>
            <w:shd w:val="clear" w:color="auto" w:fill="auto"/>
            <w:noWrap/>
            <w:vAlign w:val="center"/>
            <w:hideMark/>
          </w:tcPr>
          <w:p w14:paraId="42011A20" w14:textId="77777777" w:rsidR="00DF70BA" w:rsidRPr="00073924" w:rsidRDefault="00DF70BA" w:rsidP="00517D38">
            <w:pPr>
              <w:rPr>
                <w:b/>
                <w:bCs/>
              </w:rPr>
            </w:pPr>
            <w:r w:rsidRPr="00073924">
              <w:rPr>
                <w:b/>
                <w:bCs/>
              </w:rPr>
              <w:t>Title</w:t>
            </w:r>
          </w:p>
        </w:tc>
        <w:tc>
          <w:tcPr>
            <w:tcW w:w="1370" w:type="dxa"/>
            <w:shd w:val="clear" w:color="auto" w:fill="auto"/>
            <w:noWrap/>
            <w:vAlign w:val="center"/>
            <w:hideMark/>
          </w:tcPr>
          <w:p w14:paraId="3F5404A8" w14:textId="77777777" w:rsidR="00DF70BA" w:rsidRPr="00073924" w:rsidRDefault="00DF70BA" w:rsidP="00517D38">
            <w:pPr>
              <w:rPr>
                <w:b/>
                <w:bCs/>
              </w:rPr>
            </w:pPr>
            <w:r w:rsidRPr="00073924">
              <w:rPr>
                <w:b/>
                <w:bCs/>
              </w:rPr>
              <w:t>ISSN / ISBN</w:t>
            </w:r>
          </w:p>
        </w:tc>
        <w:tc>
          <w:tcPr>
            <w:tcW w:w="1362" w:type="dxa"/>
            <w:shd w:val="clear" w:color="auto" w:fill="auto"/>
            <w:noWrap/>
            <w:vAlign w:val="center"/>
            <w:hideMark/>
          </w:tcPr>
          <w:p w14:paraId="1543825E" w14:textId="77777777" w:rsidR="00DF70BA" w:rsidRPr="00073924" w:rsidRDefault="00DF70BA" w:rsidP="00517D38">
            <w:pPr>
              <w:rPr>
                <w:b/>
                <w:bCs/>
              </w:rPr>
            </w:pPr>
            <w:r w:rsidRPr="00073924">
              <w:rPr>
                <w:b/>
                <w:bCs/>
              </w:rPr>
              <w:t>Years Included</w:t>
            </w:r>
          </w:p>
        </w:tc>
        <w:tc>
          <w:tcPr>
            <w:tcW w:w="1277" w:type="dxa"/>
            <w:shd w:val="clear" w:color="auto" w:fill="auto"/>
            <w:noWrap/>
            <w:vAlign w:val="center"/>
            <w:hideMark/>
          </w:tcPr>
          <w:p w14:paraId="59ED01C0" w14:textId="77777777" w:rsidR="00DF70BA" w:rsidRPr="00073924" w:rsidRDefault="00DF70BA" w:rsidP="00517D38">
            <w:pPr>
              <w:rPr>
                <w:b/>
                <w:bCs/>
              </w:rPr>
            </w:pPr>
            <w:r w:rsidRPr="00073924">
              <w:rPr>
                <w:b/>
                <w:bCs/>
              </w:rPr>
              <w:t>Fee</w:t>
            </w:r>
          </w:p>
        </w:tc>
      </w:tr>
      <w:tr w:rsidR="00DF70BA" w:rsidRPr="00073924" w14:paraId="6B8AB08B" w14:textId="77777777" w:rsidTr="00073924">
        <w:tc>
          <w:tcPr>
            <w:tcW w:w="1620" w:type="dxa"/>
            <w:shd w:val="clear" w:color="auto" w:fill="auto"/>
            <w:noWrap/>
            <w:vAlign w:val="center"/>
            <w:hideMark/>
          </w:tcPr>
          <w:p w14:paraId="7C192E3B" w14:textId="77777777" w:rsidR="00DF70BA" w:rsidRPr="00073924" w:rsidRDefault="00DF70BA" w:rsidP="00517D38">
            <w:r w:rsidRPr="00073924">
              <w:t> </w:t>
            </w:r>
          </w:p>
        </w:tc>
        <w:tc>
          <w:tcPr>
            <w:tcW w:w="3870" w:type="dxa"/>
            <w:shd w:val="clear" w:color="auto" w:fill="auto"/>
            <w:noWrap/>
            <w:vAlign w:val="center"/>
            <w:hideMark/>
          </w:tcPr>
          <w:p w14:paraId="6D0F78A7" w14:textId="77777777" w:rsidR="00DF70BA" w:rsidRPr="00073924" w:rsidRDefault="00DF70BA" w:rsidP="00517D38">
            <w:r w:rsidRPr="00073924">
              <w:t> </w:t>
            </w:r>
          </w:p>
        </w:tc>
        <w:tc>
          <w:tcPr>
            <w:tcW w:w="1370" w:type="dxa"/>
            <w:shd w:val="clear" w:color="auto" w:fill="auto"/>
            <w:noWrap/>
            <w:vAlign w:val="center"/>
            <w:hideMark/>
          </w:tcPr>
          <w:p w14:paraId="05949C2D" w14:textId="77777777" w:rsidR="00DF70BA" w:rsidRPr="00073924" w:rsidRDefault="00DF70BA" w:rsidP="00517D38">
            <w:r w:rsidRPr="00073924">
              <w:t> </w:t>
            </w:r>
          </w:p>
        </w:tc>
        <w:tc>
          <w:tcPr>
            <w:tcW w:w="1362" w:type="dxa"/>
            <w:shd w:val="clear" w:color="auto" w:fill="auto"/>
            <w:noWrap/>
            <w:vAlign w:val="center"/>
            <w:hideMark/>
          </w:tcPr>
          <w:p w14:paraId="3138276A" w14:textId="77777777" w:rsidR="00DF70BA" w:rsidRPr="00073924" w:rsidRDefault="00DF70BA" w:rsidP="00517D38">
            <w:r w:rsidRPr="00073924">
              <w:t> </w:t>
            </w:r>
          </w:p>
        </w:tc>
        <w:tc>
          <w:tcPr>
            <w:tcW w:w="1277" w:type="dxa"/>
            <w:shd w:val="clear" w:color="auto" w:fill="auto"/>
            <w:noWrap/>
            <w:vAlign w:val="center"/>
            <w:hideMark/>
          </w:tcPr>
          <w:p w14:paraId="524CE8C5" w14:textId="77777777" w:rsidR="00DF70BA" w:rsidRPr="00073924" w:rsidRDefault="00DF70BA" w:rsidP="00517D38">
            <w:r w:rsidRPr="00073924">
              <w:t> </w:t>
            </w:r>
          </w:p>
        </w:tc>
      </w:tr>
      <w:tr w:rsidR="00DF70BA" w:rsidRPr="00073924" w14:paraId="3CD2676D" w14:textId="77777777" w:rsidTr="00073924">
        <w:tc>
          <w:tcPr>
            <w:tcW w:w="5490" w:type="dxa"/>
            <w:gridSpan w:val="2"/>
            <w:shd w:val="clear" w:color="auto" w:fill="auto"/>
            <w:noWrap/>
            <w:vAlign w:val="center"/>
          </w:tcPr>
          <w:p w14:paraId="1E8FA801" w14:textId="77777777" w:rsidR="00DF70BA" w:rsidRPr="00073924" w:rsidRDefault="00DF70BA" w:rsidP="00517D38">
            <w:pPr>
              <w:rPr>
                <w:b/>
                <w:bCs/>
              </w:rPr>
            </w:pPr>
            <w:r w:rsidRPr="00073924">
              <w:rPr>
                <w:b/>
                <w:bCs/>
              </w:rPr>
              <w:t>Total</w:t>
            </w:r>
          </w:p>
        </w:tc>
        <w:tc>
          <w:tcPr>
            <w:tcW w:w="4009" w:type="dxa"/>
            <w:gridSpan w:val="3"/>
            <w:shd w:val="clear" w:color="auto" w:fill="auto"/>
            <w:noWrap/>
            <w:vAlign w:val="center"/>
          </w:tcPr>
          <w:p w14:paraId="082CE178" w14:textId="51D61AEF" w:rsidR="00DF70BA" w:rsidRPr="00073924" w:rsidRDefault="00DF70BA" w:rsidP="00517D38">
            <w:pPr>
              <w:rPr>
                <w:b/>
                <w:bCs/>
              </w:rPr>
            </w:pPr>
          </w:p>
        </w:tc>
      </w:tr>
    </w:tbl>
    <w:p w14:paraId="6ED6883A" w14:textId="77777777" w:rsidR="00DF70BA" w:rsidRPr="00073924" w:rsidRDefault="00DF70BA" w:rsidP="00517D38"/>
    <w:p w14:paraId="37350BC9" w14:textId="77777777" w:rsidR="00DF70BA" w:rsidRPr="00073924" w:rsidRDefault="00DF70BA" w:rsidP="00517D38">
      <w:pPr>
        <w:pStyle w:val="ListParagraph"/>
        <w:keepNext/>
        <w:keepLines/>
        <w:numPr>
          <w:ilvl w:val="0"/>
          <w:numId w:val="9"/>
        </w:numPr>
        <w:spacing w:after="0" w:line="240" w:lineRule="auto"/>
        <w:rPr>
          <w:rFonts w:ascii="Times New Roman" w:hAnsi="Times New Roman"/>
        </w:rPr>
      </w:pPr>
      <w:r w:rsidRPr="00073924">
        <w:rPr>
          <w:rFonts w:ascii="Times New Roman" w:hAnsi="Times New Roman"/>
          <w:b/>
          <w:bCs/>
        </w:rPr>
        <w:t>Appendix Term:</w:t>
      </w:r>
      <w:r w:rsidRPr="00073924">
        <w:rPr>
          <w:rFonts w:ascii="Times New Roman" w:hAnsi="Times New Roman"/>
          <w:bCs/>
        </w:rPr>
        <w:t xml:space="preserve"> </w:t>
      </w:r>
      <w:r w:rsidRPr="00073924">
        <w:rPr>
          <w:rFonts w:ascii="Times New Roman" w:hAnsi="Times New Roman"/>
        </w:rPr>
        <w:t>_____ through _____.</w:t>
      </w:r>
    </w:p>
    <w:p w14:paraId="0911FB75" w14:textId="77777777" w:rsidR="00DF70BA" w:rsidRPr="00073924" w:rsidRDefault="00DF70BA" w:rsidP="00517D38">
      <w:pPr>
        <w:pStyle w:val="ListParagraph"/>
        <w:keepNext/>
        <w:keepLines/>
        <w:numPr>
          <w:ilvl w:val="1"/>
          <w:numId w:val="9"/>
        </w:numPr>
        <w:spacing w:after="0" w:line="240" w:lineRule="auto"/>
        <w:rPr>
          <w:rFonts w:ascii="Times New Roman" w:hAnsi="Times New Roman"/>
        </w:rPr>
      </w:pPr>
      <w:r w:rsidRPr="00073924">
        <w:rPr>
          <w:rFonts w:ascii="Times New Roman" w:hAnsi="Times New Roman"/>
        </w:rPr>
        <w:t>During this period, the Customer may license additional products under this Appendix and the Agreement.</w:t>
      </w:r>
    </w:p>
    <w:p w14:paraId="11E87E64" w14:textId="167BD421" w:rsidR="00DF70BA" w:rsidRPr="00073924" w:rsidRDefault="00DF70BA" w:rsidP="00517D38">
      <w:pPr>
        <w:pStyle w:val="ListParagraph"/>
        <w:keepNext/>
        <w:keepLines/>
        <w:numPr>
          <w:ilvl w:val="1"/>
          <w:numId w:val="9"/>
        </w:numPr>
        <w:spacing w:after="0" w:line="240" w:lineRule="auto"/>
        <w:rPr>
          <w:rFonts w:ascii="Times New Roman" w:hAnsi="Times New Roman"/>
        </w:rPr>
      </w:pPr>
      <w:r w:rsidRPr="00073924">
        <w:rPr>
          <w:rFonts w:ascii="Times New Roman" w:hAnsi="Times New Roman"/>
        </w:rPr>
        <w:t xml:space="preserve">The Appendix Term may never exceed the </w:t>
      </w:r>
      <w:r w:rsidR="00453B2D">
        <w:rPr>
          <w:rFonts w:ascii="Times New Roman" w:hAnsi="Times New Roman"/>
        </w:rPr>
        <w:t>T</w:t>
      </w:r>
      <w:r w:rsidRPr="00073924">
        <w:rPr>
          <w:rFonts w:ascii="Times New Roman" w:hAnsi="Times New Roman"/>
        </w:rPr>
        <w:t xml:space="preserve">erm of the Agreement as set forth in </w:t>
      </w:r>
      <w:r w:rsidR="00517D38" w:rsidRPr="00073924">
        <w:rPr>
          <w:rFonts w:ascii="Times New Roman" w:hAnsi="Times New Roman"/>
        </w:rPr>
        <w:t xml:space="preserve">Section 7.1. </w:t>
      </w:r>
      <w:r w:rsidRPr="00073924">
        <w:rPr>
          <w:rFonts w:ascii="Times New Roman" w:hAnsi="Times New Roman"/>
        </w:rPr>
        <w:t>of the Agreement.</w:t>
      </w:r>
    </w:p>
    <w:bookmarkEnd w:id="1"/>
    <w:p w14:paraId="1F456F5D" w14:textId="77777777" w:rsidR="000E10AD" w:rsidRPr="00073924" w:rsidRDefault="000E10AD" w:rsidP="00517D38">
      <w:pPr>
        <w:tabs>
          <w:tab w:val="left" w:pos="720"/>
          <w:tab w:val="left" w:pos="5040"/>
          <w:tab w:val="left" w:pos="5760"/>
        </w:tabs>
        <w:rPr>
          <w:szCs w:val="22"/>
        </w:rPr>
      </w:pPr>
    </w:p>
    <w:p w14:paraId="45CDFCA1" w14:textId="77777777" w:rsidR="00103116" w:rsidRPr="00073924" w:rsidRDefault="00103116" w:rsidP="00517D38">
      <w:pPr>
        <w:tabs>
          <w:tab w:val="left" w:pos="720"/>
          <w:tab w:val="left" w:pos="5040"/>
          <w:tab w:val="left" w:pos="5760"/>
        </w:tabs>
        <w:rPr>
          <w:szCs w:val="22"/>
        </w:rPr>
      </w:pPr>
    </w:p>
    <w:p w14:paraId="0A618F06" w14:textId="77777777" w:rsidR="003023D0" w:rsidRPr="00073924" w:rsidRDefault="003023D0" w:rsidP="00517D38">
      <w:pPr>
        <w:tabs>
          <w:tab w:val="left" w:pos="720"/>
          <w:tab w:val="left" w:pos="5040"/>
          <w:tab w:val="left" w:pos="5760"/>
        </w:tabs>
        <w:ind w:right="-180"/>
        <w:rPr>
          <w:szCs w:val="22"/>
        </w:rPr>
      </w:pPr>
    </w:p>
    <w:p w14:paraId="5BB8872F" w14:textId="77777777" w:rsidR="00C63953" w:rsidRPr="00073924" w:rsidRDefault="00C63953" w:rsidP="00517D38">
      <w:pPr>
        <w:widowControl/>
        <w:rPr>
          <w:rFonts w:eastAsia="Calibri"/>
          <w:szCs w:val="22"/>
        </w:rPr>
      </w:pPr>
      <w:r w:rsidRPr="00073924">
        <w:rPr>
          <w:szCs w:val="22"/>
        </w:rPr>
        <w:br w:type="page"/>
      </w:r>
    </w:p>
    <w:p w14:paraId="640039A4" w14:textId="5AFBD2EA" w:rsidR="00B87D91" w:rsidRPr="00073924" w:rsidRDefault="00B87D91" w:rsidP="00517D38">
      <w:pPr>
        <w:pStyle w:val="Heading1"/>
      </w:pPr>
      <w:r w:rsidRPr="00073924">
        <w:lastRenderedPageBreak/>
        <w:t>APPENDIX D(a)</w:t>
      </w:r>
      <w:r w:rsidR="00A71B84" w:rsidRPr="00073924">
        <w:t xml:space="preserve">: </w:t>
      </w:r>
      <w:r w:rsidR="000F36DB" w:rsidRPr="00073924">
        <w:t xml:space="preserve">MAJOR </w:t>
      </w:r>
      <w:r w:rsidRPr="00073924">
        <w:t xml:space="preserve">REFERENCE WORKS – </w:t>
      </w:r>
      <w:r w:rsidR="0086224B" w:rsidRPr="00073924">
        <w:t>One-</w:t>
      </w:r>
      <w:r w:rsidR="00356189" w:rsidRPr="00073924">
        <w:t>t</w:t>
      </w:r>
      <w:r w:rsidR="0086224B" w:rsidRPr="00073924">
        <w:t>ime license</w:t>
      </w:r>
    </w:p>
    <w:p w14:paraId="77B02F87" w14:textId="77777777" w:rsidR="00555289" w:rsidRPr="00073924" w:rsidRDefault="0078399B" w:rsidP="00517D38">
      <w:pPr>
        <w:rPr>
          <w:szCs w:val="22"/>
        </w:rPr>
      </w:pPr>
      <w:r w:rsidRPr="00073924">
        <w:rPr>
          <w:szCs w:val="22"/>
        </w:rPr>
        <w:t>Customer:</w:t>
      </w:r>
      <w:r w:rsidR="00A02D98" w:rsidRPr="00073924">
        <w:rPr>
          <w:szCs w:val="22"/>
        </w:rPr>
        <w:t xml:space="preserve"> </w:t>
      </w:r>
    </w:p>
    <w:p w14:paraId="3D1C3DE9" w14:textId="77777777" w:rsidR="00555289" w:rsidRPr="00073924" w:rsidRDefault="00555289" w:rsidP="00517D38">
      <w:pPr>
        <w:rPr>
          <w:szCs w:val="22"/>
        </w:rPr>
      </w:pPr>
    </w:p>
    <w:p w14:paraId="7F7FF4D3" w14:textId="77777777" w:rsidR="00B87D91" w:rsidRPr="00073924" w:rsidRDefault="00741570" w:rsidP="00517D38">
      <w:pPr>
        <w:pStyle w:val="BodyText"/>
        <w:widowControl/>
        <w:tabs>
          <w:tab w:val="clear" w:pos="1440"/>
        </w:tabs>
        <w:rPr>
          <w:sz w:val="22"/>
          <w:szCs w:val="22"/>
        </w:rPr>
      </w:pPr>
      <w:r w:rsidRPr="00073924">
        <w:rPr>
          <w:sz w:val="22"/>
          <w:szCs w:val="22"/>
        </w:rPr>
        <w:t>Licensed</w:t>
      </w:r>
      <w:r w:rsidR="00B87D91" w:rsidRPr="00073924">
        <w:rPr>
          <w:sz w:val="22"/>
          <w:szCs w:val="22"/>
        </w:rPr>
        <w:t xml:space="preserve"> </w:t>
      </w:r>
      <w:r w:rsidR="007A0F4B" w:rsidRPr="00073924">
        <w:rPr>
          <w:sz w:val="22"/>
          <w:szCs w:val="22"/>
        </w:rPr>
        <w:t xml:space="preserve">Electronic Major </w:t>
      </w:r>
      <w:r w:rsidR="00B87D91" w:rsidRPr="00073924">
        <w:rPr>
          <w:sz w:val="22"/>
          <w:szCs w:val="22"/>
        </w:rPr>
        <w:t>Reference Works (</w:t>
      </w:r>
      <w:proofErr w:type="spellStart"/>
      <w:r w:rsidR="007A0F4B" w:rsidRPr="00073924">
        <w:rPr>
          <w:sz w:val="22"/>
          <w:szCs w:val="22"/>
        </w:rPr>
        <w:t>eM</w:t>
      </w:r>
      <w:r w:rsidR="00B87D91" w:rsidRPr="00073924">
        <w:rPr>
          <w:sz w:val="22"/>
          <w:szCs w:val="22"/>
        </w:rPr>
        <w:t>RW</w:t>
      </w:r>
      <w:proofErr w:type="spellEnd"/>
      <w:r w:rsidR="00B87D91" w:rsidRPr="00073924">
        <w:rPr>
          <w:sz w:val="22"/>
          <w:szCs w:val="22"/>
        </w:rPr>
        <w:t xml:space="preserve">) are the electronic editions of Wiley’s </w:t>
      </w:r>
      <w:r w:rsidR="00150EDA" w:rsidRPr="00073924">
        <w:rPr>
          <w:sz w:val="22"/>
          <w:szCs w:val="22"/>
        </w:rPr>
        <w:t xml:space="preserve">electronic </w:t>
      </w:r>
      <w:r w:rsidR="00B87D91" w:rsidRPr="00073924">
        <w:rPr>
          <w:sz w:val="22"/>
          <w:szCs w:val="22"/>
        </w:rPr>
        <w:t xml:space="preserve">major reference works to which the </w:t>
      </w:r>
      <w:r w:rsidR="009977FF" w:rsidRPr="00073924">
        <w:rPr>
          <w:sz w:val="22"/>
          <w:szCs w:val="22"/>
        </w:rPr>
        <w:t>Customer</w:t>
      </w:r>
      <w:r w:rsidR="00B87D91" w:rsidRPr="00073924">
        <w:rPr>
          <w:sz w:val="22"/>
          <w:szCs w:val="22"/>
        </w:rPr>
        <w:t xml:space="preserve"> has access under this </w:t>
      </w:r>
      <w:r w:rsidR="009977FF" w:rsidRPr="00073924">
        <w:rPr>
          <w:sz w:val="22"/>
          <w:szCs w:val="22"/>
        </w:rPr>
        <w:t>Agreement</w:t>
      </w:r>
      <w:r w:rsidR="00B87D91" w:rsidRPr="00073924">
        <w:rPr>
          <w:sz w:val="22"/>
          <w:szCs w:val="22"/>
        </w:rPr>
        <w:t xml:space="preserve"> (the </w:t>
      </w:r>
      <w:r w:rsidR="007834F5" w:rsidRPr="00073924">
        <w:rPr>
          <w:sz w:val="22"/>
          <w:szCs w:val="22"/>
        </w:rPr>
        <w:t>“</w:t>
      </w:r>
      <w:r w:rsidR="00B87D91" w:rsidRPr="00073924">
        <w:rPr>
          <w:sz w:val="22"/>
          <w:szCs w:val="22"/>
        </w:rPr>
        <w:t>Edition(s)</w:t>
      </w:r>
      <w:r w:rsidR="007834F5" w:rsidRPr="00073924">
        <w:rPr>
          <w:sz w:val="22"/>
          <w:szCs w:val="22"/>
        </w:rPr>
        <w:t>”</w:t>
      </w:r>
      <w:r w:rsidR="00B87D91" w:rsidRPr="00073924">
        <w:rPr>
          <w:sz w:val="22"/>
          <w:szCs w:val="22"/>
        </w:rPr>
        <w:t>).</w:t>
      </w:r>
      <w:r w:rsidR="00A7424A" w:rsidRPr="00073924">
        <w:rPr>
          <w:sz w:val="22"/>
          <w:szCs w:val="22"/>
        </w:rPr>
        <w:t xml:space="preserve"> </w:t>
      </w:r>
      <w:r w:rsidR="00B87D91" w:rsidRPr="00073924">
        <w:rPr>
          <w:sz w:val="22"/>
          <w:szCs w:val="22"/>
        </w:rPr>
        <w:t xml:space="preserve">They may include tables of content, abstracts, full text and illustrations, data tables and additional content not included in the print versions of the </w:t>
      </w:r>
      <w:r w:rsidR="00150EDA" w:rsidRPr="00073924">
        <w:rPr>
          <w:sz w:val="22"/>
          <w:szCs w:val="22"/>
        </w:rPr>
        <w:t xml:space="preserve">electronic </w:t>
      </w:r>
      <w:r w:rsidR="00B87D91" w:rsidRPr="00073924">
        <w:rPr>
          <w:sz w:val="22"/>
          <w:szCs w:val="22"/>
        </w:rPr>
        <w:t xml:space="preserve">major reference works. </w:t>
      </w:r>
    </w:p>
    <w:p w14:paraId="6AE0330B" w14:textId="77777777" w:rsidR="00B87D91" w:rsidRPr="00073924" w:rsidRDefault="00B87D91" w:rsidP="00517D38">
      <w:pPr>
        <w:rPr>
          <w:szCs w:val="22"/>
        </w:rPr>
      </w:pPr>
    </w:p>
    <w:p w14:paraId="36131885" w14:textId="77777777" w:rsidR="00053FAA" w:rsidRPr="00073924" w:rsidRDefault="00053FAA" w:rsidP="00517D38">
      <w:pPr>
        <w:pStyle w:val="ProductAppendecisLevel4"/>
        <w:numPr>
          <w:ilvl w:val="0"/>
          <w:numId w:val="8"/>
        </w:numPr>
        <w:rPr>
          <w:rFonts w:cs="Times New Roman"/>
          <w:lang w:val="en-US"/>
        </w:rPr>
      </w:pPr>
      <w:r w:rsidRPr="00073924">
        <w:rPr>
          <w:rFonts w:cs="Times New Roman"/>
          <w:b/>
          <w:bCs/>
          <w:lang w:val="en-US"/>
        </w:rPr>
        <w:t xml:space="preserve">Access: </w:t>
      </w:r>
      <w:r w:rsidRPr="00073924">
        <w:rPr>
          <w:rFonts w:cs="Times New Roman"/>
          <w:lang w:val="en-US"/>
        </w:rPr>
        <w:t>A One-Time license will entitle the Customer to</w:t>
      </w:r>
      <w:r w:rsidR="007F0112" w:rsidRPr="00073924">
        <w:rPr>
          <w:rFonts w:cs="Times New Roman"/>
          <w:lang w:val="en-US"/>
        </w:rPr>
        <w:t xml:space="preserve"> access</w:t>
      </w:r>
      <w:r w:rsidR="0075794D" w:rsidRPr="00073924">
        <w:rPr>
          <w:rFonts w:cs="Times New Roman"/>
          <w:lang w:val="en-US"/>
        </w:rPr>
        <w:t xml:space="preserve"> </w:t>
      </w:r>
      <w:r w:rsidRPr="00073924">
        <w:rPr>
          <w:rFonts w:cs="Times New Roman"/>
          <w:lang w:val="en-US"/>
        </w:rPr>
        <w:t xml:space="preserve">the </w:t>
      </w:r>
      <w:proofErr w:type="spellStart"/>
      <w:r w:rsidR="007A0F4B" w:rsidRPr="00073924">
        <w:rPr>
          <w:rFonts w:cs="Times New Roman"/>
          <w:lang w:val="en-US"/>
        </w:rPr>
        <w:t>eM</w:t>
      </w:r>
      <w:r w:rsidRPr="00073924">
        <w:rPr>
          <w:rFonts w:cs="Times New Roman"/>
          <w:lang w:val="en-US"/>
        </w:rPr>
        <w:t>RW</w:t>
      </w:r>
      <w:proofErr w:type="spellEnd"/>
      <w:r w:rsidRPr="00073924">
        <w:rPr>
          <w:rFonts w:cs="Times New Roman"/>
          <w:lang w:val="en-US"/>
        </w:rPr>
        <w:t xml:space="preserve"> </w:t>
      </w:r>
      <w:r w:rsidR="004042E6" w:rsidRPr="00073924">
        <w:rPr>
          <w:rFonts w:cs="Times New Roman"/>
          <w:lang w:val="en-US"/>
        </w:rPr>
        <w:t xml:space="preserve">titles </w:t>
      </w:r>
      <w:r w:rsidR="003B0189" w:rsidRPr="00073924">
        <w:rPr>
          <w:rFonts w:cs="Times New Roman"/>
          <w:lang w:val="en-US"/>
        </w:rPr>
        <w:t xml:space="preserve">and content </w:t>
      </w:r>
      <w:r w:rsidRPr="00073924">
        <w:rPr>
          <w:rFonts w:cs="Times New Roman"/>
          <w:lang w:val="en-US"/>
        </w:rPr>
        <w:t xml:space="preserve">that are available during the license term. It will also include all material added or updated during that term. </w:t>
      </w:r>
    </w:p>
    <w:p w14:paraId="15A072F9" w14:textId="77777777" w:rsidR="00053FAA" w:rsidRPr="00073924" w:rsidRDefault="00053FAA" w:rsidP="00517D38">
      <w:pPr>
        <w:pStyle w:val="ProductAppendecisBody"/>
        <w:rPr>
          <w:rFonts w:cs="Times New Roman"/>
          <w:lang w:val="en-US"/>
        </w:rPr>
      </w:pPr>
    </w:p>
    <w:p w14:paraId="476766F7" w14:textId="77777777" w:rsidR="00053FAA" w:rsidRPr="00073924" w:rsidRDefault="00053FAA" w:rsidP="00517D38">
      <w:pPr>
        <w:pStyle w:val="ProductAppendecisLevel4"/>
        <w:numPr>
          <w:ilvl w:val="0"/>
          <w:numId w:val="8"/>
        </w:numPr>
        <w:rPr>
          <w:rFonts w:cs="Times New Roman"/>
          <w:lang w:val="en-US"/>
        </w:rPr>
      </w:pPr>
      <w:r w:rsidRPr="00073924">
        <w:rPr>
          <w:rFonts w:cs="Times New Roman"/>
          <w:b/>
          <w:bCs/>
          <w:lang w:val="en-US"/>
        </w:rPr>
        <w:t>Perpetual Access:</w:t>
      </w:r>
      <w:r w:rsidRPr="00073924">
        <w:rPr>
          <w:rFonts w:cs="Times New Roman"/>
          <w:lang w:val="en-US"/>
        </w:rPr>
        <w:t xml:space="preserve"> Wiley will provide the Customer with perpetual access to the full text of the Licensed </w:t>
      </w:r>
      <w:r w:rsidR="007A0F4B" w:rsidRPr="00073924">
        <w:rPr>
          <w:rFonts w:cs="Times New Roman"/>
          <w:lang w:val="en-US"/>
        </w:rPr>
        <w:t>Electronic Major</w:t>
      </w:r>
      <w:r w:rsidRPr="00073924">
        <w:rPr>
          <w:rFonts w:cs="Times New Roman"/>
          <w:lang w:val="en-US"/>
        </w:rPr>
        <w:t xml:space="preserve"> Reference Works, where Wiley has the rights to deliver this. </w:t>
      </w:r>
    </w:p>
    <w:p w14:paraId="64E5E785" w14:textId="77777777" w:rsidR="00F108B7" w:rsidRPr="00073924" w:rsidRDefault="006B7DE1" w:rsidP="00517D38">
      <w:pPr>
        <w:pStyle w:val="ListParagraph"/>
        <w:keepNext/>
        <w:keepLines/>
        <w:numPr>
          <w:ilvl w:val="1"/>
          <w:numId w:val="8"/>
        </w:numPr>
        <w:spacing w:after="0" w:line="240" w:lineRule="auto"/>
        <w:rPr>
          <w:rFonts w:ascii="Times New Roman" w:hAnsi="Times New Roman"/>
        </w:rPr>
      </w:pPr>
      <w:r w:rsidRPr="00073924">
        <w:rPr>
          <w:rFonts w:ascii="Times New Roman" w:hAnsi="Times New Roman"/>
        </w:rPr>
        <w:t>The content for which Perpetual Access is guaranteed is that available during the calendar year in which the Electronic Product was licensed.</w:t>
      </w:r>
      <w:r w:rsidR="00330526" w:rsidRPr="00073924">
        <w:rPr>
          <w:rFonts w:ascii="Times New Roman" w:hAnsi="Times New Roman"/>
        </w:rPr>
        <w:t xml:space="preserve"> </w:t>
      </w:r>
    </w:p>
    <w:p w14:paraId="2658F66A" w14:textId="77777777" w:rsidR="00B87D91" w:rsidRPr="00073924" w:rsidRDefault="00B87D91" w:rsidP="00517D38">
      <w:pPr>
        <w:tabs>
          <w:tab w:val="left" w:pos="720"/>
          <w:tab w:val="left" w:pos="5040"/>
          <w:tab w:val="left" w:pos="5760"/>
        </w:tabs>
        <w:rPr>
          <w:szCs w:val="22"/>
        </w:rPr>
      </w:pPr>
    </w:p>
    <w:p w14:paraId="3DF1FA81" w14:textId="428741AD" w:rsidR="00DF70BA" w:rsidRPr="00073924" w:rsidRDefault="00DF70BA" w:rsidP="00DA1951">
      <w:pPr>
        <w:pStyle w:val="ListParagraph"/>
        <w:keepNext/>
        <w:keepLines/>
        <w:numPr>
          <w:ilvl w:val="0"/>
          <w:numId w:val="8"/>
        </w:numPr>
        <w:spacing w:after="0" w:line="240" w:lineRule="auto"/>
        <w:rPr>
          <w:rFonts w:ascii="Times New Roman" w:hAnsi="Times New Roman"/>
        </w:rPr>
      </w:pPr>
      <w:r w:rsidRPr="00073924">
        <w:rPr>
          <w:rFonts w:ascii="Times New Roman" w:hAnsi="Times New Roman"/>
          <w:b/>
          <w:bCs/>
        </w:rPr>
        <w:t xml:space="preserve">Fees: </w:t>
      </w:r>
      <w:r w:rsidRPr="00073924">
        <w:rPr>
          <w:rFonts w:ascii="Times New Roman" w:hAnsi="Times New Roman"/>
          <w:b/>
        </w:rPr>
        <w:t>Fee</w:t>
      </w:r>
      <w:r w:rsidRPr="00680CCD">
        <w:rPr>
          <w:rFonts w:ascii="Times New Roman" w:hAnsi="Times New Roman"/>
          <w:b/>
        </w:rPr>
        <w:t xml:space="preserve">s: </w:t>
      </w:r>
      <w:proofErr w:type="spellStart"/>
      <w:r w:rsidR="00BE2AC3" w:rsidRPr="00DA1951">
        <w:rPr>
          <w:rFonts w:ascii="Times New Roman" w:hAnsi="Times New Roman"/>
          <w:bCs/>
        </w:rPr>
        <w:t>eMRW</w:t>
      </w:r>
      <w:proofErr w:type="spellEnd"/>
      <w:r w:rsidR="00BE2AC3" w:rsidRPr="00DA1951">
        <w:rPr>
          <w:rFonts w:ascii="Times New Roman" w:hAnsi="Times New Roman"/>
          <w:bCs/>
        </w:rPr>
        <w:t xml:space="preserve"> </w:t>
      </w:r>
      <w:r w:rsidRPr="00680CCD">
        <w:rPr>
          <w:rFonts w:ascii="Times New Roman" w:hAnsi="Times New Roman"/>
        </w:rPr>
        <w:t>Fees will b</w:t>
      </w:r>
      <w:r w:rsidRPr="00073924">
        <w:rPr>
          <w:rFonts w:ascii="Times New Roman" w:hAnsi="Times New Roman"/>
        </w:rPr>
        <w:t>e calculated based on the Customer’s number of FTEs.</w:t>
      </w:r>
    </w:p>
    <w:p w14:paraId="0723F0F9" w14:textId="20EBFA9F" w:rsidR="00DF70BA" w:rsidRDefault="00DF70BA" w:rsidP="000C728A">
      <w:pPr>
        <w:pStyle w:val="ListParagraph"/>
        <w:keepNext/>
        <w:keepLines/>
        <w:numPr>
          <w:ilvl w:val="1"/>
          <w:numId w:val="8"/>
        </w:numPr>
        <w:spacing w:after="0" w:line="240" w:lineRule="auto"/>
        <w:rPr>
          <w:rFonts w:ascii="Times New Roman" w:hAnsi="Times New Roman"/>
        </w:rPr>
      </w:pPr>
      <w:r w:rsidRPr="00073924">
        <w:rPr>
          <w:rFonts w:ascii="Times New Roman" w:hAnsi="Times New Roman"/>
        </w:rPr>
        <w:t>The titles for the initial license are listed with fees below.</w:t>
      </w:r>
    </w:p>
    <w:p w14:paraId="17FA6C32" w14:textId="77777777" w:rsidR="000C728A" w:rsidRPr="00073924" w:rsidRDefault="000C728A" w:rsidP="00DA1951">
      <w:pPr>
        <w:pStyle w:val="ListParagraph"/>
        <w:keepNext/>
        <w:keepLines/>
        <w:spacing w:after="0" w:line="240" w:lineRule="auto"/>
        <w:ind w:left="1440"/>
        <w:rPr>
          <w:rFonts w:ascii="Times New Roman" w:hAnsi="Times New Roman"/>
        </w:rPr>
      </w:pPr>
    </w:p>
    <w:tbl>
      <w:tblPr>
        <w:tblW w:w="949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870"/>
        <w:gridCol w:w="1370"/>
        <w:gridCol w:w="1362"/>
        <w:gridCol w:w="1277"/>
      </w:tblGrid>
      <w:tr w:rsidR="00DF70BA" w:rsidRPr="00073924" w14:paraId="7567B962" w14:textId="77777777" w:rsidTr="00073924">
        <w:tc>
          <w:tcPr>
            <w:tcW w:w="1620" w:type="dxa"/>
            <w:shd w:val="clear" w:color="auto" w:fill="auto"/>
            <w:noWrap/>
            <w:vAlign w:val="center"/>
            <w:hideMark/>
          </w:tcPr>
          <w:p w14:paraId="08E02639" w14:textId="77777777" w:rsidR="00DF70BA" w:rsidRPr="00073924" w:rsidRDefault="00DF70BA" w:rsidP="00517D38">
            <w:pPr>
              <w:rPr>
                <w:b/>
                <w:bCs/>
              </w:rPr>
            </w:pPr>
            <w:r w:rsidRPr="00073924">
              <w:rPr>
                <w:b/>
                <w:bCs/>
              </w:rPr>
              <w:t>Catalog or Collection</w:t>
            </w:r>
          </w:p>
        </w:tc>
        <w:tc>
          <w:tcPr>
            <w:tcW w:w="3870" w:type="dxa"/>
            <w:shd w:val="clear" w:color="auto" w:fill="auto"/>
            <w:noWrap/>
            <w:vAlign w:val="center"/>
            <w:hideMark/>
          </w:tcPr>
          <w:p w14:paraId="1A27212A" w14:textId="77777777" w:rsidR="00DF70BA" w:rsidRPr="00073924" w:rsidRDefault="00DF70BA" w:rsidP="00517D38">
            <w:pPr>
              <w:rPr>
                <w:b/>
                <w:bCs/>
              </w:rPr>
            </w:pPr>
            <w:r w:rsidRPr="00073924">
              <w:rPr>
                <w:b/>
                <w:bCs/>
              </w:rPr>
              <w:t>Title</w:t>
            </w:r>
          </w:p>
        </w:tc>
        <w:tc>
          <w:tcPr>
            <w:tcW w:w="1370" w:type="dxa"/>
            <w:shd w:val="clear" w:color="auto" w:fill="auto"/>
            <w:noWrap/>
            <w:vAlign w:val="center"/>
            <w:hideMark/>
          </w:tcPr>
          <w:p w14:paraId="6A301488" w14:textId="77777777" w:rsidR="00DF70BA" w:rsidRPr="00073924" w:rsidRDefault="00DF70BA" w:rsidP="00517D38">
            <w:pPr>
              <w:rPr>
                <w:b/>
                <w:bCs/>
              </w:rPr>
            </w:pPr>
            <w:r w:rsidRPr="00073924">
              <w:rPr>
                <w:b/>
                <w:bCs/>
              </w:rPr>
              <w:t>ISSN / ISBN</w:t>
            </w:r>
          </w:p>
        </w:tc>
        <w:tc>
          <w:tcPr>
            <w:tcW w:w="1362" w:type="dxa"/>
            <w:shd w:val="clear" w:color="auto" w:fill="auto"/>
            <w:noWrap/>
            <w:vAlign w:val="center"/>
            <w:hideMark/>
          </w:tcPr>
          <w:p w14:paraId="5190A229" w14:textId="77777777" w:rsidR="00DF70BA" w:rsidRPr="00073924" w:rsidRDefault="00DF70BA" w:rsidP="00517D38">
            <w:pPr>
              <w:rPr>
                <w:b/>
                <w:bCs/>
              </w:rPr>
            </w:pPr>
            <w:r w:rsidRPr="00073924">
              <w:rPr>
                <w:b/>
                <w:bCs/>
              </w:rPr>
              <w:t>Years Included</w:t>
            </w:r>
          </w:p>
        </w:tc>
        <w:tc>
          <w:tcPr>
            <w:tcW w:w="1277" w:type="dxa"/>
            <w:shd w:val="clear" w:color="auto" w:fill="auto"/>
            <w:noWrap/>
            <w:vAlign w:val="center"/>
            <w:hideMark/>
          </w:tcPr>
          <w:p w14:paraId="34A9E94B" w14:textId="77777777" w:rsidR="00DF70BA" w:rsidRPr="00073924" w:rsidRDefault="00DF70BA" w:rsidP="00517D38">
            <w:pPr>
              <w:rPr>
                <w:b/>
                <w:bCs/>
              </w:rPr>
            </w:pPr>
            <w:r w:rsidRPr="00073924">
              <w:rPr>
                <w:b/>
                <w:bCs/>
              </w:rPr>
              <w:t>Fee</w:t>
            </w:r>
          </w:p>
        </w:tc>
      </w:tr>
      <w:tr w:rsidR="00DF70BA" w:rsidRPr="00073924" w14:paraId="698AEF92" w14:textId="77777777" w:rsidTr="00073924">
        <w:tc>
          <w:tcPr>
            <w:tcW w:w="1620" w:type="dxa"/>
            <w:shd w:val="clear" w:color="auto" w:fill="auto"/>
            <w:noWrap/>
            <w:vAlign w:val="center"/>
            <w:hideMark/>
          </w:tcPr>
          <w:p w14:paraId="273FEE52" w14:textId="77777777" w:rsidR="00DF70BA" w:rsidRPr="00073924" w:rsidRDefault="00DF70BA" w:rsidP="00517D38">
            <w:r w:rsidRPr="00073924">
              <w:t> </w:t>
            </w:r>
          </w:p>
        </w:tc>
        <w:tc>
          <w:tcPr>
            <w:tcW w:w="3870" w:type="dxa"/>
            <w:shd w:val="clear" w:color="auto" w:fill="auto"/>
            <w:noWrap/>
            <w:vAlign w:val="center"/>
            <w:hideMark/>
          </w:tcPr>
          <w:p w14:paraId="5AA6943B" w14:textId="77777777" w:rsidR="00DF70BA" w:rsidRPr="00073924" w:rsidRDefault="00DF70BA" w:rsidP="00517D38">
            <w:r w:rsidRPr="00073924">
              <w:t> </w:t>
            </w:r>
          </w:p>
        </w:tc>
        <w:tc>
          <w:tcPr>
            <w:tcW w:w="1370" w:type="dxa"/>
            <w:shd w:val="clear" w:color="auto" w:fill="auto"/>
            <w:noWrap/>
            <w:vAlign w:val="center"/>
            <w:hideMark/>
          </w:tcPr>
          <w:p w14:paraId="43919079" w14:textId="77777777" w:rsidR="00DF70BA" w:rsidRPr="00073924" w:rsidRDefault="00DF70BA" w:rsidP="00517D38">
            <w:r w:rsidRPr="00073924">
              <w:t> </w:t>
            </w:r>
          </w:p>
        </w:tc>
        <w:tc>
          <w:tcPr>
            <w:tcW w:w="1362" w:type="dxa"/>
            <w:shd w:val="clear" w:color="auto" w:fill="auto"/>
            <w:noWrap/>
            <w:vAlign w:val="center"/>
            <w:hideMark/>
          </w:tcPr>
          <w:p w14:paraId="42604128" w14:textId="77777777" w:rsidR="00DF70BA" w:rsidRPr="00073924" w:rsidRDefault="00DF70BA" w:rsidP="00517D38">
            <w:r w:rsidRPr="00073924">
              <w:t> </w:t>
            </w:r>
          </w:p>
        </w:tc>
        <w:tc>
          <w:tcPr>
            <w:tcW w:w="1277" w:type="dxa"/>
            <w:shd w:val="clear" w:color="auto" w:fill="auto"/>
            <w:noWrap/>
            <w:vAlign w:val="center"/>
            <w:hideMark/>
          </w:tcPr>
          <w:p w14:paraId="01B07526" w14:textId="77777777" w:rsidR="00DF70BA" w:rsidRPr="00073924" w:rsidRDefault="00DF70BA" w:rsidP="00517D38">
            <w:r w:rsidRPr="00073924">
              <w:t> </w:t>
            </w:r>
          </w:p>
        </w:tc>
      </w:tr>
      <w:tr w:rsidR="00DF70BA" w:rsidRPr="00073924" w14:paraId="69D55EB5" w14:textId="77777777" w:rsidTr="00073924">
        <w:tc>
          <w:tcPr>
            <w:tcW w:w="1620" w:type="dxa"/>
            <w:shd w:val="clear" w:color="auto" w:fill="auto"/>
            <w:noWrap/>
            <w:vAlign w:val="center"/>
            <w:hideMark/>
          </w:tcPr>
          <w:p w14:paraId="121599CC" w14:textId="77777777" w:rsidR="00DF70BA" w:rsidRPr="00073924" w:rsidRDefault="00DF70BA" w:rsidP="00517D38">
            <w:r w:rsidRPr="00073924">
              <w:t> </w:t>
            </w:r>
          </w:p>
        </w:tc>
        <w:tc>
          <w:tcPr>
            <w:tcW w:w="3870" w:type="dxa"/>
            <w:shd w:val="clear" w:color="auto" w:fill="auto"/>
            <w:noWrap/>
            <w:vAlign w:val="center"/>
            <w:hideMark/>
          </w:tcPr>
          <w:p w14:paraId="61B9E4D9" w14:textId="77777777" w:rsidR="00DF70BA" w:rsidRPr="00073924" w:rsidRDefault="00DF70BA" w:rsidP="00517D38">
            <w:r w:rsidRPr="00073924">
              <w:t> </w:t>
            </w:r>
          </w:p>
        </w:tc>
        <w:tc>
          <w:tcPr>
            <w:tcW w:w="1370" w:type="dxa"/>
            <w:shd w:val="clear" w:color="auto" w:fill="auto"/>
            <w:noWrap/>
            <w:vAlign w:val="center"/>
            <w:hideMark/>
          </w:tcPr>
          <w:p w14:paraId="338D4C73" w14:textId="77777777" w:rsidR="00DF70BA" w:rsidRPr="00073924" w:rsidRDefault="00DF70BA" w:rsidP="00517D38">
            <w:r w:rsidRPr="00073924">
              <w:t> </w:t>
            </w:r>
          </w:p>
        </w:tc>
        <w:tc>
          <w:tcPr>
            <w:tcW w:w="1362" w:type="dxa"/>
            <w:shd w:val="clear" w:color="auto" w:fill="auto"/>
            <w:noWrap/>
            <w:vAlign w:val="center"/>
            <w:hideMark/>
          </w:tcPr>
          <w:p w14:paraId="4EBA95AB" w14:textId="77777777" w:rsidR="00DF70BA" w:rsidRPr="00073924" w:rsidRDefault="00DF70BA" w:rsidP="00517D38">
            <w:r w:rsidRPr="00073924">
              <w:t> </w:t>
            </w:r>
          </w:p>
        </w:tc>
        <w:tc>
          <w:tcPr>
            <w:tcW w:w="1277" w:type="dxa"/>
            <w:shd w:val="clear" w:color="auto" w:fill="auto"/>
            <w:noWrap/>
            <w:vAlign w:val="center"/>
            <w:hideMark/>
          </w:tcPr>
          <w:p w14:paraId="670C9C4F" w14:textId="77777777" w:rsidR="00DF70BA" w:rsidRPr="00073924" w:rsidRDefault="00DF70BA" w:rsidP="00517D38">
            <w:r w:rsidRPr="00073924">
              <w:t> </w:t>
            </w:r>
          </w:p>
        </w:tc>
      </w:tr>
      <w:tr w:rsidR="00DF70BA" w:rsidRPr="00073924" w14:paraId="59E4F633" w14:textId="77777777" w:rsidTr="00073924">
        <w:tc>
          <w:tcPr>
            <w:tcW w:w="1620" w:type="dxa"/>
            <w:shd w:val="clear" w:color="auto" w:fill="auto"/>
            <w:noWrap/>
            <w:vAlign w:val="center"/>
            <w:hideMark/>
          </w:tcPr>
          <w:p w14:paraId="399F480E" w14:textId="77777777" w:rsidR="00DF70BA" w:rsidRPr="00073924" w:rsidRDefault="00DF70BA" w:rsidP="00517D38">
            <w:r w:rsidRPr="00073924">
              <w:t> </w:t>
            </w:r>
          </w:p>
        </w:tc>
        <w:tc>
          <w:tcPr>
            <w:tcW w:w="3870" w:type="dxa"/>
            <w:shd w:val="clear" w:color="auto" w:fill="auto"/>
            <w:noWrap/>
            <w:vAlign w:val="center"/>
            <w:hideMark/>
          </w:tcPr>
          <w:p w14:paraId="2E9C160E" w14:textId="77777777" w:rsidR="00DF70BA" w:rsidRPr="00073924" w:rsidRDefault="00DF70BA" w:rsidP="00517D38">
            <w:r w:rsidRPr="00073924">
              <w:t> </w:t>
            </w:r>
          </w:p>
        </w:tc>
        <w:tc>
          <w:tcPr>
            <w:tcW w:w="1370" w:type="dxa"/>
            <w:shd w:val="clear" w:color="auto" w:fill="auto"/>
            <w:noWrap/>
            <w:vAlign w:val="center"/>
            <w:hideMark/>
          </w:tcPr>
          <w:p w14:paraId="3506F02D" w14:textId="77777777" w:rsidR="00DF70BA" w:rsidRPr="00073924" w:rsidRDefault="00DF70BA" w:rsidP="00517D38">
            <w:r w:rsidRPr="00073924">
              <w:t> </w:t>
            </w:r>
          </w:p>
        </w:tc>
        <w:tc>
          <w:tcPr>
            <w:tcW w:w="1362" w:type="dxa"/>
            <w:shd w:val="clear" w:color="auto" w:fill="auto"/>
            <w:noWrap/>
            <w:vAlign w:val="center"/>
            <w:hideMark/>
          </w:tcPr>
          <w:p w14:paraId="6638C710" w14:textId="77777777" w:rsidR="00DF70BA" w:rsidRPr="00073924" w:rsidRDefault="00DF70BA" w:rsidP="00517D38">
            <w:r w:rsidRPr="00073924">
              <w:t> </w:t>
            </w:r>
          </w:p>
        </w:tc>
        <w:tc>
          <w:tcPr>
            <w:tcW w:w="1277" w:type="dxa"/>
            <w:shd w:val="clear" w:color="auto" w:fill="auto"/>
            <w:noWrap/>
            <w:vAlign w:val="center"/>
            <w:hideMark/>
          </w:tcPr>
          <w:p w14:paraId="2B398D0D" w14:textId="77777777" w:rsidR="00DF70BA" w:rsidRPr="00073924" w:rsidRDefault="00DF70BA" w:rsidP="00517D38">
            <w:r w:rsidRPr="00073924">
              <w:t> </w:t>
            </w:r>
          </w:p>
        </w:tc>
      </w:tr>
      <w:tr w:rsidR="00DF70BA" w:rsidRPr="00073924" w14:paraId="35929DD9" w14:textId="77777777" w:rsidTr="00073924">
        <w:tc>
          <w:tcPr>
            <w:tcW w:w="5490" w:type="dxa"/>
            <w:gridSpan w:val="2"/>
            <w:shd w:val="clear" w:color="auto" w:fill="auto"/>
            <w:noWrap/>
            <w:vAlign w:val="center"/>
          </w:tcPr>
          <w:p w14:paraId="3FC5F17F" w14:textId="77777777" w:rsidR="00DF70BA" w:rsidRPr="00073924" w:rsidRDefault="00DF70BA" w:rsidP="00517D38">
            <w:pPr>
              <w:rPr>
                <w:b/>
                <w:bCs/>
              </w:rPr>
            </w:pPr>
            <w:r w:rsidRPr="00073924">
              <w:rPr>
                <w:b/>
                <w:bCs/>
              </w:rPr>
              <w:t>Total</w:t>
            </w:r>
          </w:p>
        </w:tc>
        <w:tc>
          <w:tcPr>
            <w:tcW w:w="4009" w:type="dxa"/>
            <w:gridSpan w:val="3"/>
            <w:shd w:val="clear" w:color="auto" w:fill="auto"/>
            <w:noWrap/>
            <w:vAlign w:val="center"/>
          </w:tcPr>
          <w:p w14:paraId="27CE6F5A" w14:textId="2DB20A18" w:rsidR="00DF70BA" w:rsidRPr="00073924" w:rsidRDefault="00DF70BA" w:rsidP="00517D38">
            <w:pPr>
              <w:rPr>
                <w:b/>
                <w:bCs/>
              </w:rPr>
            </w:pPr>
          </w:p>
        </w:tc>
      </w:tr>
    </w:tbl>
    <w:p w14:paraId="54BE529E" w14:textId="77777777" w:rsidR="00DF70BA" w:rsidRPr="00073924" w:rsidRDefault="00DF70BA" w:rsidP="00517D38"/>
    <w:p w14:paraId="24744780" w14:textId="77777777" w:rsidR="00DF70BA" w:rsidRPr="00073924" w:rsidRDefault="00DF70BA" w:rsidP="00DA1951">
      <w:pPr>
        <w:pStyle w:val="ListParagraph"/>
        <w:keepNext/>
        <w:keepLines/>
        <w:numPr>
          <w:ilvl w:val="0"/>
          <w:numId w:val="8"/>
        </w:numPr>
        <w:spacing w:after="0" w:line="240" w:lineRule="auto"/>
        <w:rPr>
          <w:rFonts w:ascii="Times New Roman" w:hAnsi="Times New Roman"/>
        </w:rPr>
      </w:pPr>
      <w:r w:rsidRPr="00073924">
        <w:rPr>
          <w:rFonts w:ascii="Times New Roman" w:hAnsi="Times New Roman"/>
          <w:b/>
          <w:bCs/>
        </w:rPr>
        <w:t>Appendix Term:</w:t>
      </w:r>
      <w:r w:rsidRPr="00073924">
        <w:rPr>
          <w:rFonts w:ascii="Times New Roman" w:hAnsi="Times New Roman"/>
          <w:bCs/>
        </w:rPr>
        <w:t xml:space="preserve"> </w:t>
      </w:r>
      <w:r w:rsidRPr="00073924">
        <w:rPr>
          <w:rFonts w:ascii="Times New Roman" w:hAnsi="Times New Roman"/>
        </w:rPr>
        <w:t>_____ through _____.</w:t>
      </w:r>
    </w:p>
    <w:p w14:paraId="1BE7B3A6" w14:textId="77777777" w:rsidR="00DF70BA" w:rsidRPr="00073924" w:rsidRDefault="00DF70BA" w:rsidP="00DA1951">
      <w:pPr>
        <w:pStyle w:val="ListParagraph"/>
        <w:keepNext/>
        <w:keepLines/>
        <w:numPr>
          <w:ilvl w:val="1"/>
          <w:numId w:val="8"/>
        </w:numPr>
        <w:spacing w:after="0" w:line="240" w:lineRule="auto"/>
        <w:rPr>
          <w:rFonts w:ascii="Times New Roman" w:hAnsi="Times New Roman"/>
        </w:rPr>
      </w:pPr>
      <w:r w:rsidRPr="00073924">
        <w:rPr>
          <w:rFonts w:ascii="Times New Roman" w:hAnsi="Times New Roman"/>
        </w:rPr>
        <w:t>During this period, the Customer may license additional products under this Appendix and the Agreement.</w:t>
      </w:r>
    </w:p>
    <w:p w14:paraId="22E398FC" w14:textId="1C5C608A" w:rsidR="00DF70BA" w:rsidRPr="00073924" w:rsidRDefault="00DF70BA" w:rsidP="00DA1951">
      <w:pPr>
        <w:pStyle w:val="ListParagraph"/>
        <w:keepNext/>
        <w:keepLines/>
        <w:numPr>
          <w:ilvl w:val="1"/>
          <w:numId w:val="8"/>
        </w:numPr>
        <w:spacing w:after="0" w:line="240" w:lineRule="auto"/>
        <w:rPr>
          <w:rFonts w:ascii="Times New Roman" w:hAnsi="Times New Roman"/>
        </w:rPr>
      </w:pPr>
      <w:r w:rsidRPr="00073924">
        <w:rPr>
          <w:rFonts w:ascii="Times New Roman" w:hAnsi="Times New Roman"/>
        </w:rPr>
        <w:t xml:space="preserve">The Appendix Term may never exceed the </w:t>
      </w:r>
      <w:r w:rsidR="002119DD">
        <w:rPr>
          <w:rFonts w:ascii="Times New Roman" w:hAnsi="Times New Roman"/>
        </w:rPr>
        <w:t>T</w:t>
      </w:r>
      <w:r w:rsidRPr="00073924">
        <w:rPr>
          <w:rFonts w:ascii="Times New Roman" w:hAnsi="Times New Roman"/>
        </w:rPr>
        <w:t xml:space="preserve">erm of the Agreement as set forth in </w:t>
      </w:r>
      <w:r w:rsidR="00517D38" w:rsidRPr="00073924">
        <w:rPr>
          <w:rFonts w:ascii="Times New Roman" w:hAnsi="Times New Roman"/>
        </w:rPr>
        <w:t xml:space="preserve">Section 7.1. </w:t>
      </w:r>
      <w:r w:rsidRPr="00073924">
        <w:rPr>
          <w:rFonts w:ascii="Times New Roman" w:hAnsi="Times New Roman"/>
        </w:rPr>
        <w:t>of the Agreement.</w:t>
      </w:r>
    </w:p>
    <w:p w14:paraId="1070BF6F" w14:textId="77777777" w:rsidR="00DF70BA" w:rsidRPr="00073924" w:rsidRDefault="00DF70BA" w:rsidP="00517D38">
      <w:pPr>
        <w:tabs>
          <w:tab w:val="left" w:pos="720"/>
          <w:tab w:val="left" w:pos="5040"/>
          <w:tab w:val="left" w:pos="5760"/>
        </w:tabs>
        <w:rPr>
          <w:szCs w:val="22"/>
        </w:rPr>
      </w:pPr>
    </w:p>
    <w:p w14:paraId="506CCE87" w14:textId="77777777" w:rsidR="001D7C91" w:rsidRPr="00073924" w:rsidRDefault="001D7C91" w:rsidP="00517D38">
      <w:pPr>
        <w:rPr>
          <w:szCs w:val="22"/>
        </w:rPr>
      </w:pPr>
    </w:p>
    <w:p w14:paraId="793BFCA3" w14:textId="77777777" w:rsidR="00B87D91" w:rsidRPr="00073924" w:rsidRDefault="689D096F" w:rsidP="00517D38">
      <w:pPr>
        <w:pStyle w:val="Heading1"/>
      </w:pPr>
      <w:r w:rsidRPr="00073924">
        <w:rPr>
          <w:szCs w:val="22"/>
        </w:rPr>
        <w:br w:type="page"/>
      </w:r>
      <w:r w:rsidR="00B87D91" w:rsidRPr="00073924">
        <w:lastRenderedPageBreak/>
        <w:t>APPENDIX D(b)</w:t>
      </w:r>
      <w:r w:rsidR="00A71B84" w:rsidRPr="00073924">
        <w:t>:</w:t>
      </w:r>
      <w:r w:rsidR="00B87D91" w:rsidRPr="00073924">
        <w:t xml:space="preserve"> </w:t>
      </w:r>
      <w:r w:rsidR="002D40D0" w:rsidRPr="00073924">
        <w:t>MAJOR</w:t>
      </w:r>
      <w:r w:rsidR="00B87D91" w:rsidRPr="00073924">
        <w:t xml:space="preserve"> REFERENCE WORKS – Annual Subscription</w:t>
      </w:r>
    </w:p>
    <w:p w14:paraId="0D57F320" w14:textId="77777777" w:rsidR="00555289" w:rsidRPr="00073924" w:rsidRDefault="0078399B" w:rsidP="00517D38">
      <w:pPr>
        <w:rPr>
          <w:szCs w:val="22"/>
        </w:rPr>
      </w:pPr>
      <w:r w:rsidRPr="00073924">
        <w:rPr>
          <w:szCs w:val="22"/>
        </w:rPr>
        <w:t>Customer:</w:t>
      </w:r>
      <w:r w:rsidR="00A02D98" w:rsidRPr="00073924">
        <w:rPr>
          <w:szCs w:val="22"/>
        </w:rPr>
        <w:t xml:space="preserve"> </w:t>
      </w:r>
    </w:p>
    <w:p w14:paraId="0216DA7C" w14:textId="77777777" w:rsidR="00B87D91" w:rsidRPr="00073924" w:rsidRDefault="00B87D91" w:rsidP="00517D38">
      <w:pPr>
        <w:rPr>
          <w:szCs w:val="22"/>
        </w:rPr>
      </w:pPr>
    </w:p>
    <w:p w14:paraId="41C881F1" w14:textId="77777777" w:rsidR="00B87D91" w:rsidRPr="00073924" w:rsidRDefault="00741570" w:rsidP="00517D38">
      <w:pPr>
        <w:pStyle w:val="BodyText2"/>
        <w:rPr>
          <w:szCs w:val="22"/>
          <w:lang w:val="en-US"/>
        </w:rPr>
      </w:pPr>
      <w:r w:rsidRPr="00073924">
        <w:rPr>
          <w:szCs w:val="22"/>
          <w:lang w:val="en-US"/>
        </w:rPr>
        <w:t>Licensed</w:t>
      </w:r>
      <w:r w:rsidR="00B87D91" w:rsidRPr="00073924">
        <w:rPr>
          <w:szCs w:val="22"/>
          <w:lang w:val="en-US"/>
        </w:rPr>
        <w:t xml:space="preserve"> </w:t>
      </w:r>
      <w:r w:rsidR="00150EDA" w:rsidRPr="00073924">
        <w:rPr>
          <w:szCs w:val="22"/>
          <w:lang w:val="en-US"/>
        </w:rPr>
        <w:t>Electronic Major</w:t>
      </w:r>
      <w:r w:rsidR="00B87D91" w:rsidRPr="00073924">
        <w:rPr>
          <w:szCs w:val="22"/>
          <w:lang w:val="en-US"/>
        </w:rPr>
        <w:t xml:space="preserve"> Reference Works (</w:t>
      </w:r>
      <w:proofErr w:type="spellStart"/>
      <w:r w:rsidR="006B7DE1" w:rsidRPr="00073924">
        <w:rPr>
          <w:szCs w:val="22"/>
          <w:lang w:val="en-US"/>
        </w:rPr>
        <w:t>eM</w:t>
      </w:r>
      <w:r w:rsidR="00B87D91" w:rsidRPr="00073924">
        <w:rPr>
          <w:szCs w:val="22"/>
          <w:lang w:val="en-US"/>
        </w:rPr>
        <w:t>RW</w:t>
      </w:r>
      <w:proofErr w:type="spellEnd"/>
      <w:r w:rsidR="00B87D91" w:rsidRPr="00073924">
        <w:rPr>
          <w:szCs w:val="22"/>
          <w:lang w:val="en-US"/>
        </w:rPr>
        <w:t xml:space="preserve">) are the electronic editions of Wiley’s </w:t>
      </w:r>
      <w:r w:rsidR="00150EDA" w:rsidRPr="00073924">
        <w:rPr>
          <w:szCs w:val="22"/>
          <w:lang w:val="en-US"/>
        </w:rPr>
        <w:t xml:space="preserve">electronic </w:t>
      </w:r>
      <w:r w:rsidR="00B87D91" w:rsidRPr="00073924">
        <w:rPr>
          <w:szCs w:val="22"/>
          <w:lang w:val="en-US"/>
        </w:rPr>
        <w:t xml:space="preserve">major reference works to which the </w:t>
      </w:r>
      <w:r w:rsidR="009977FF" w:rsidRPr="00073924">
        <w:rPr>
          <w:szCs w:val="22"/>
          <w:lang w:val="en-US"/>
        </w:rPr>
        <w:t>Customer</w:t>
      </w:r>
      <w:r w:rsidR="00B87D91" w:rsidRPr="00073924">
        <w:rPr>
          <w:szCs w:val="22"/>
          <w:lang w:val="en-US"/>
        </w:rPr>
        <w:t xml:space="preserve"> has access under this </w:t>
      </w:r>
      <w:r w:rsidR="009977FF" w:rsidRPr="00073924">
        <w:rPr>
          <w:szCs w:val="22"/>
          <w:lang w:val="en-US"/>
        </w:rPr>
        <w:t>Agreement</w:t>
      </w:r>
      <w:r w:rsidR="00B87D91" w:rsidRPr="00073924">
        <w:rPr>
          <w:szCs w:val="22"/>
          <w:lang w:val="en-US"/>
        </w:rPr>
        <w:t xml:space="preserve"> (the </w:t>
      </w:r>
      <w:r w:rsidR="007834F5" w:rsidRPr="00073924">
        <w:rPr>
          <w:szCs w:val="22"/>
          <w:lang w:val="en-US"/>
        </w:rPr>
        <w:t>“</w:t>
      </w:r>
      <w:r w:rsidR="00B87D91" w:rsidRPr="00073924">
        <w:rPr>
          <w:szCs w:val="22"/>
          <w:lang w:val="en-US"/>
        </w:rPr>
        <w:t>Edition(s)</w:t>
      </w:r>
      <w:r w:rsidR="007834F5" w:rsidRPr="00073924">
        <w:rPr>
          <w:szCs w:val="22"/>
          <w:lang w:val="en-US"/>
        </w:rPr>
        <w:t>”</w:t>
      </w:r>
      <w:r w:rsidR="00B87D91" w:rsidRPr="00073924">
        <w:rPr>
          <w:szCs w:val="22"/>
          <w:lang w:val="en-US"/>
        </w:rPr>
        <w:t>).</w:t>
      </w:r>
      <w:r w:rsidR="00A7424A" w:rsidRPr="00073924">
        <w:rPr>
          <w:szCs w:val="22"/>
          <w:lang w:val="en-US"/>
        </w:rPr>
        <w:t xml:space="preserve"> </w:t>
      </w:r>
      <w:r w:rsidR="00B87D91" w:rsidRPr="00073924">
        <w:rPr>
          <w:szCs w:val="22"/>
          <w:lang w:val="en-US"/>
        </w:rPr>
        <w:t>They may include tables of content, abstracts, full text and illustrations</w:t>
      </w:r>
      <w:r w:rsidR="001509C8" w:rsidRPr="00073924">
        <w:rPr>
          <w:szCs w:val="22"/>
          <w:lang w:val="en-US"/>
        </w:rPr>
        <w:t>,</w:t>
      </w:r>
      <w:r w:rsidR="00B87D91" w:rsidRPr="00073924">
        <w:rPr>
          <w:szCs w:val="22"/>
          <w:lang w:val="en-US"/>
        </w:rPr>
        <w:t xml:space="preserve"> data tables and additional content not included in the print versions of the major reference works.</w:t>
      </w:r>
      <w:r w:rsidR="00A7424A" w:rsidRPr="00073924">
        <w:rPr>
          <w:szCs w:val="22"/>
          <w:lang w:val="en-US"/>
        </w:rPr>
        <w:t xml:space="preserve"> </w:t>
      </w:r>
    </w:p>
    <w:p w14:paraId="442DCB8D" w14:textId="77777777" w:rsidR="00B87D91" w:rsidRPr="00073924" w:rsidRDefault="00B87D91" w:rsidP="00517D38">
      <w:pPr>
        <w:tabs>
          <w:tab w:val="left" w:pos="720"/>
          <w:tab w:val="left" w:pos="5040"/>
          <w:tab w:val="left" w:pos="5760"/>
        </w:tabs>
        <w:rPr>
          <w:szCs w:val="22"/>
        </w:rPr>
      </w:pPr>
    </w:p>
    <w:p w14:paraId="2BE6B844" w14:textId="77777777" w:rsidR="00D45D6F" w:rsidRPr="00073924" w:rsidRDefault="00EE0214" w:rsidP="00517D38">
      <w:pPr>
        <w:pStyle w:val="ProductAppendecisLevel4"/>
        <w:numPr>
          <w:ilvl w:val="0"/>
          <w:numId w:val="10"/>
        </w:numPr>
        <w:rPr>
          <w:rFonts w:cs="Times New Roman"/>
          <w:lang w:val="en-US"/>
        </w:rPr>
      </w:pPr>
      <w:r w:rsidRPr="00073924">
        <w:rPr>
          <w:rFonts w:cs="Times New Roman"/>
          <w:b/>
          <w:bCs/>
          <w:lang w:val="en-US"/>
        </w:rPr>
        <w:t xml:space="preserve">Access: </w:t>
      </w:r>
      <w:r w:rsidRPr="00073924">
        <w:rPr>
          <w:rFonts w:cs="Times New Roman"/>
          <w:lang w:val="en-US"/>
        </w:rPr>
        <w:t xml:space="preserve">An Annual Subscription will give the Customer access to the </w:t>
      </w:r>
      <w:proofErr w:type="spellStart"/>
      <w:r w:rsidR="006B7DE1" w:rsidRPr="00073924">
        <w:rPr>
          <w:rFonts w:cs="Times New Roman"/>
          <w:lang w:val="en-US"/>
        </w:rPr>
        <w:t>eMRW</w:t>
      </w:r>
      <w:proofErr w:type="spellEnd"/>
      <w:r w:rsidRPr="00073924">
        <w:rPr>
          <w:rFonts w:cs="Times New Roman"/>
          <w:lang w:val="en-US"/>
        </w:rPr>
        <w:t xml:space="preserve"> Edition that is available at the time this Agreement begins, plus any content added or updated during the Appendix Term specified below. </w:t>
      </w:r>
    </w:p>
    <w:p w14:paraId="4D37CC96" w14:textId="77777777" w:rsidR="00EE0214" w:rsidRPr="00073924" w:rsidRDefault="00EE0214" w:rsidP="00517D38">
      <w:pPr>
        <w:pStyle w:val="ProductAppendecisLevel4"/>
        <w:numPr>
          <w:ilvl w:val="1"/>
          <w:numId w:val="10"/>
        </w:numPr>
        <w:rPr>
          <w:rFonts w:cs="Times New Roman"/>
          <w:lang w:val="en-US"/>
        </w:rPr>
      </w:pPr>
      <w:r w:rsidRPr="00073924">
        <w:rPr>
          <w:rFonts w:cs="Times New Roman"/>
          <w:lang w:val="en-US"/>
        </w:rPr>
        <w:t xml:space="preserve">The Customer must continue to subscribe each year </w:t>
      </w:r>
      <w:proofErr w:type="gramStart"/>
      <w:r w:rsidRPr="00073924">
        <w:rPr>
          <w:rFonts w:cs="Times New Roman"/>
          <w:lang w:val="en-US"/>
        </w:rPr>
        <w:t>in order to</w:t>
      </w:r>
      <w:proofErr w:type="gramEnd"/>
      <w:r w:rsidRPr="00073924">
        <w:rPr>
          <w:rFonts w:cs="Times New Roman"/>
          <w:lang w:val="en-US"/>
        </w:rPr>
        <w:t xml:space="preserve"> retain access.</w:t>
      </w:r>
    </w:p>
    <w:p w14:paraId="70B0860F" w14:textId="77777777" w:rsidR="00B87D91" w:rsidRPr="00073924" w:rsidRDefault="00B87D91" w:rsidP="00517D38">
      <w:pPr>
        <w:tabs>
          <w:tab w:val="left" w:pos="720"/>
          <w:tab w:val="left" w:pos="5040"/>
          <w:tab w:val="left" w:pos="5760"/>
        </w:tabs>
        <w:rPr>
          <w:szCs w:val="22"/>
        </w:rPr>
      </w:pPr>
    </w:p>
    <w:p w14:paraId="3F13D90C" w14:textId="77777777" w:rsidR="00DC78E1" w:rsidRPr="00073924" w:rsidRDefault="00802AB2" w:rsidP="00517D38">
      <w:pPr>
        <w:pStyle w:val="ListParagraph"/>
        <w:numPr>
          <w:ilvl w:val="0"/>
          <w:numId w:val="10"/>
        </w:numPr>
        <w:tabs>
          <w:tab w:val="left" w:pos="5040"/>
          <w:tab w:val="left" w:pos="5760"/>
        </w:tabs>
        <w:spacing w:after="0" w:line="240" w:lineRule="auto"/>
        <w:rPr>
          <w:rFonts w:ascii="Times New Roman" w:hAnsi="Times New Roman"/>
        </w:rPr>
      </w:pPr>
      <w:r w:rsidRPr="00073924">
        <w:rPr>
          <w:rFonts w:ascii="Times New Roman" w:hAnsi="Times New Roman"/>
          <w:b/>
        </w:rPr>
        <w:t>Fees</w:t>
      </w:r>
      <w:r w:rsidR="00B87D91" w:rsidRPr="00073924">
        <w:rPr>
          <w:rFonts w:ascii="Times New Roman" w:hAnsi="Times New Roman"/>
          <w:b/>
        </w:rPr>
        <w:t>:</w:t>
      </w:r>
      <w:r w:rsidR="00C06715" w:rsidRPr="00073924">
        <w:rPr>
          <w:rFonts w:ascii="Times New Roman" w:hAnsi="Times New Roman"/>
          <w:b/>
        </w:rPr>
        <w:t xml:space="preserve"> </w:t>
      </w:r>
      <w:proofErr w:type="spellStart"/>
      <w:r w:rsidR="006B7DE1" w:rsidRPr="00073924">
        <w:rPr>
          <w:rFonts w:ascii="Times New Roman" w:hAnsi="Times New Roman"/>
        </w:rPr>
        <w:t>eMR</w:t>
      </w:r>
      <w:r w:rsidR="00237C0D" w:rsidRPr="00073924">
        <w:rPr>
          <w:rFonts w:ascii="Times New Roman" w:hAnsi="Times New Roman"/>
        </w:rPr>
        <w:t>W</w:t>
      </w:r>
      <w:proofErr w:type="spellEnd"/>
      <w:r w:rsidR="00B87D91" w:rsidRPr="00073924">
        <w:rPr>
          <w:rFonts w:ascii="Times New Roman" w:hAnsi="Times New Roman"/>
        </w:rPr>
        <w:t xml:space="preserve"> </w:t>
      </w:r>
      <w:r w:rsidRPr="00073924">
        <w:rPr>
          <w:rFonts w:ascii="Times New Roman" w:hAnsi="Times New Roman"/>
        </w:rPr>
        <w:t>Fees</w:t>
      </w:r>
      <w:r w:rsidR="00B87D91" w:rsidRPr="00073924">
        <w:rPr>
          <w:rFonts w:ascii="Times New Roman" w:hAnsi="Times New Roman"/>
        </w:rPr>
        <w:t xml:space="preserve"> will be calculated based on the </w:t>
      </w:r>
      <w:r w:rsidR="009977FF" w:rsidRPr="00073924">
        <w:rPr>
          <w:rFonts w:ascii="Times New Roman" w:hAnsi="Times New Roman"/>
        </w:rPr>
        <w:t>Customer</w:t>
      </w:r>
      <w:r w:rsidR="00B87D91" w:rsidRPr="00073924">
        <w:rPr>
          <w:rFonts w:ascii="Times New Roman" w:hAnsi="Times New Roman"/>
        </w:rPr>
        <w:t>’s number of FTEs.</w:t>
      </w:r>
      <w:r w:rsidR="00A7424A" w:rsidRPr="00073924">
        <w:rPr>
          <w:rFonts w:ascii="Times New Roman" w:hAnsi="Times New Roman"/>
        </w:rPr>
        <w:t xml:space="preserve"> </w:t>
      </w:r>
    </w:p>
    <w:p w14:paraId="777A74E7" w14:textId="77777777" w:rsidR="007B0E14" w:rsidRPr="00073924" w:rsidRDefault="007B0E14" w:rsidP="00517D38">
      <w:pPr>
        <w:pStyle w:val="ListParagraph"/>
        <w:keepNext/>
        <w:keepLines/>
        <w:numPr>
          <w:ilvl w:val="1"/>
          <w:numId w:val="10"/>
        </w:numPr>
        <w:spacing w:after="0" w:line="240" w:lineRule="auto"/>
        <w:rPr>
          <w:rFonts w:ascii="Times New Roman" w:hAnsi="Times New Roman"/>
        </w:rPr>
      </w:pPr>
      <w:r w:rsidRPr="00073924">
        <w:rPr>
          <w:rFonts w:ascii="Times New Roman" w:hAnsi="Times New Roman"/>
        </w:rPr>
        <w:t>The titles for the initial license are listed with fees below.</w:t>
      </w:r>
    </w:p>
    <w:p w14:paraId="2FE3B010" w14:textId="77777777" w:rsidR="007B0E14" w:rsidRPr="00073924" w:rsidRDefault="007B0E14" w:rsidP="00517D38">
      <w:pPr>
        <w:pStyle w:val="ListParagraph"/>
        <w:keepNext/>
        <w:keepLines/>
        <w:numPr>
          <w:ilvl w:val="1"/>
          <w:numId w:val="10"/>
        </w:numPr>
        <w:spacing w:after="0" w:line="240" w:lineRule="auto"/>
        <w:rPr>
          <w:rFonts w:ascii="Times New Roman" w:hAnsi="Times New Roman"/>
        </w:rPr>
      </w:pPr>
      <w:r w:rsidRPr="00073924">
        <w:rPr>
          <w:rFonts w:ascii="Times New Roman" w:hAnsi="Times New Roman"/>
          <w:b/>
        </w:rPr>
        <w:t>Fee Increase Cap: ___%.</w:t>
      </w:r>
    </w:p>
    <w:tbl>
      <w:tblPr>
        <w:tblW w:w="949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870"/>
        <w:gridCol w:w="1370"/>
        <w:gridCol w:w="1362"/>
        <w:gridCol w:w="1277"/>
      </w:tblGrid>
      <w:tr w:rsidR="007B0E14" w:rsidRPr="00073924" w14:paraId="2728CDDD" w14:textId="77777777" w:rsidTr="00073924">
        <w:tc>
          <w:tcPr>
            <w:tcW w:w="1620" w:type="dxa"/>
            <w:shd w:val="clear" w:color="auto" w:fill="auto"/>
            <w:noWrap/>
            <w:vAlign w:val="center"/>
            <w:hideMark/>
          </w:tcPr>
          <w:p w14:paraId="4CE63040" w14:textId="77777777" w:rsidR="007B0E14" w:rsidRPr="00073924" w:rsidRDefault="007B0E14" w:rsidP="00517D38">
            <w:pPr>
              <w:rPr>
                <w:b/>
                <w:bCs/>
              </w:rPr>
            </w:pPr>
            <w:r w:rsidRPr="00073924">
              <w:rPr>
                <w:b/>
                <w:bCs/>
              </w:rPr>
              <w:t>Catalog or Collection</w:t>
            </w:r>
          </w:p>
        </w:tc>
        <w:tc>
          <w:tcPr>
            <w:tcW w:w="3870" w:type="dxa"/>
            <w:shd w:val="clear" w:color="auto" w:fill="auto"/>
            <w:noWrap/>
            <w:vAlign w:val="center"/>
            <w:hideMark/>
          </w:tcPr>
          <w:p w14:paraId="35D5EA4E" w14:textId="77777777" w:rsidR="007B0E14" w:rsidRPr="00073924" w:rsidRDefault="007B0E14" w:rsidP="00517D38">
            <w:pPr>
              <w:rPr>
                <w:b/>
                <w:bCs/>
              </w:rPr>
            </w:pPr>
            <w:r w:rsidRPr="00073924">
              <w:rPr>
                <w:b/>
                <w:bCs/>
              </w:rPr>
              <w:t>Title</w:t>
            </w:r>
          </w:p>
        </w:tc>
        <w:tc>
          <w:tcPr>
            <w:tcW w:w="1370" w:type="dxa"/>
            <w:shd w:val="clear" w:color="auto" w:fill="auto"/>
            <w:noWrap/>
            <w:vAlign w:val="center"/>
            <w:hideMark/>
          </w:tcPr>
          <w:p w14:paraId="6A8A911E" w14:textId="77777777" w:rsidR="007B0E14" w:rsidRPr="00073924" w:rsidRDefault="007B0E14" w:rsidP="00517D38">
            <w:pPr>
              <w:rPr>
                <w:b/>
                <w:bCs/>
              </w:rPr>
            </w:pPr>
            <w:r w:rsidRPr="00073924">
              <w:rPr>
                <w:b/>
                <w:bCs/>
              </w:rPr>
              <w:t>ISSN / ISBN</w:t>
            </w:r>
          </w:p>
        </w:tc>
        <w:tc>
          <w:tcPr>
            <w:tcW w:w="1362" w:type="dxa"/>
            <w:shd w:val="clear" w:color="auto" w:fill="auto"/>
            <w:noWrap/>
            <w:vAlign w:val="center"/>
            <w:hideMark/>
          </w:tcPr>
          <w:p w14:paraId="60EE237B" w14:textId="77777777" w:rsidR="007B0E14" w:rsidRPr="00073924" w:rsidRDefault="007B0E14" w:rsidP="00517D38">
            <w:pPr>
              <w:rPr>
                <w:b/>
                <w:bCs/>
              </w:rPr>
            </w:pPr>
            <w:r w:rsidRPr="00073924">
              <w:rPr>
                <w:b/>
                <w:bCs/>
              </w:rPr>
              <w:t>Years Included</w:t>
            </w:r>
          </w:p>
        </w:tc>
        <w:tc>
          <w:tcPr>
            <w:tcW w:w="1277" w:type="dxa"/>
            <w:shd w:val="clear" w:color="auto" w:fill="auto"/>
            <w:noWrap/>
            <w:vAlign w:val="center"/>
            <w:hideMark/>
          </w:tcPr>
          <w:p w14:paraId="2AD421FE" w14:textId="77777777" w:rsidR="007B0E14" w:rsidRPr="00073924" w:rsidRDefault="007B0E14" w:rsidP="00517D38">
            <w:pPr>
              <w:rPr>
                <w:b/>
                <w:bCs/>
              </w:rPr>
            </w:pPr>
            <w:r w:rsidRPr="00073924">
              <w:rPr>
                <w:b/>
                <w:bCs/>
              </w:rPr>
              <w:t>Fee</w:t>
            </w:r>
          </w:p>
        </w:tc>
      </w:tr>
      <w:tr w:rsidR="007B0E14" w:rsidRPr="00073924" w14:paraId="62593619" w14:textId="77777777" w:rsidTr="00073924">
        <w:tc>
          <w:tcPr>
            <w:tcW w:w="1620" w:type="dxa"/>
            <w:shd w:val="clear" w:color="auto" w:fill="auto"/>
            <w:noWrap/>
            <w:vAlign w:val="center"/>
            <w:hideMark/>
          </w:tcPr>
          <w:p w14:paraId="636E60CA" w14:textId="77777777" w:rsidR="007B0E14" w:rsidRPr="00073924" w:rsidRDefault="007B0E14" w:rsidP="00517D38">
            <w:r w:rsidRPr="00073924">
              <w:t> </w:t>
            </w:r>
          </w:p>
        </w:tc>
        <w:tc>
          <w:tcPr>
            <w:tcW w:w="3870" w:type="dxa"/>
            <w:shd w:val="clear" w:color="auto" w:fill="auto"/>
            <w:noWrap/>
            <w:vAlign w:val="center"/>
            <w:hideMark/>
          </w:tcPr>
          <w:p w14:paraId="1C84067E" w14:textId="77777777" w:rsidR="007B0E14" w:rsidRPr="00073924" w:rsidRDefault="007B0E14" w:rsidP="00517D38">
            <w:r w:rsidRPr="00073924">
              <w:t> </w:t>
            </w:r>
          </w:p>
        </w:tc>
        <w:tc>
          <w:tcPr>
            <w:tcW w:w="1370" w:type="dxa"/>
            <w:shd w:val="clear" w:color="auto" w:fill="auto"/>
            <w:noWrap/>
            <w:vAlign w:val="center"/>
            <w:hideMark/>
          </w:tcPr>
          <w:p w14:paraId="0FF9D2D6" w14:textId="77777777" w:rsidR="007B0E14" w:rsidRPr="00073924" w:rsidRDefault="007B0E14" w:rsidP="00517D38">
            <w:r w:rsidRPr="00073924">
              <w:t> </w:t>
            </w:r>
          </w:p>
        </w:tc>
        <w:tc>
          <w:tcPr>
            <w:tcW w:w="1362" w:type="dxa"/>
            <w:shd w:val="clear" w:color="auto" w:fill="auto"/>
            <w:noWrap/>
            <w:vAlign w:val="center"/>
            <w:hideMark/>
          </w:tcPr>
          <w:p w14:paraId="7E1A2505" w14:textId="77777777" w:rsidR="007B0E14" w:rsidRPr="00073924" w:rsidRDefault="007B0E14" w:rsidP="00517D38">
            <w:r w:rsidRPr="00073924">
              <w:t> </w:t>
            </w:r>
          </w:p>
        </w:tc>
        <w:tc>
          <w:tcPr>
            <w:tcW w:w="1277" w:type="dxa"/>
            <w:shd w:val="clear" w:color="auto" w:fill="auto"/>
            <w:noWrap/>
            <w:vAlign w:val="center"/>
            <w:hideMark/>
          </w:tcPr>
          <w:p w14:paraId="4C0B2362" w14:textId="77777777" w:rsidR="007B0E14" w:rsidRPr="00073924" w:rsidRDefault="007B0E14" w:rsidP="00517D38">
            <w:r w:rsidRPr="00073924">
              <w:t> </w:t>
            </w:r>
          </w:p>
        </w:tc>
      </w:tr>
      <w:tr w:rsidR="007B0E14" w:rsidRPr="00073924" w14:paraId="786B8DF6" w14:textId="77777777" w:rsidTr="00073924">
        <w:tc>
          <w:tcPr>
            <w:tcW w:w="1620" w:type="dxa"/>
            <w:shd w:val="clear" w:color="auto" w:fill="auto"/>
            <w:noWrap/>
            <w:vAlign w:val="center"/>
            <w:hideMark/>
          </w:tcPr>
          <w:p w14:paraId="137D5293" w14:textId="77777777" w:rsidR="007B0E14" w:rsidRPr="00073924" w:rsidRDefault="007B0E14" w:rsidP="00517D38">
            <w:r w:rsidRPr="00073924">
              <w:t> </w:t>
            </w:r>
          </w:p>
        </w:tc>
        <w:tc>
          <w:tcPr>
            <w:tcW w:w="3870" w:type="dxa"/>
            <w:shd w:val="clear" w:color="auto" w:fill="auto"/>
            <w:noWrap/>
            <w:vAlign w:val="center"/>
            <w:hideMark/>
          </w:tcPr>
          <w:p w14:paraId="49D57DAF" w14:textId="77777777" w:rsidR="007B0E14" w:rsidRPr="00073924" w:rsidRDefault="007B0E14" w:rsidP="00517D38">
            <w:r w:rsidRPr="00073924">
              <w:t> </w:t>
            </w:r>
          </w:p>
        </w:tc>
        <w:tc>
          <w:tcPr>
            <w:tcW w:w="1370" w:type="dxa"/>
            <w:shd w:val="clear" w:color="auto" w:fill="auto"/>
            <w:noWrap/>
            <w:vAlign w:val="center"/>
            <w:hideMark/>
          </w:tcPr>
          <w:p w14:paraId="1E4389D4" w14:textId="77777777" w:rsidR="007B0E14" w:rsidRPr="00073924" w:rsidRDefault="007B0E14" w:rsidP="00517D38">
            <w:r w:rsidRPr="00073924">
              <w:t> </w:t>
            </w:r>
          </w:p>
        </w:tc>
        <w:tc>
          <w:tcPr>
            <w:tcW w:w="1362" w:type="dxa"/>
            <w:shd w:val="clear" w:color="auto" w:fill="auto"/>
            <w:noWrap/>
            <w:vAlign w:val="center"/>
            <w:hideMark/>
          </w:tcPr>
          <w:p w14:paraId="200B4908" w14:textId="77777777" w:rsidR="007B0E14" w:rsidRPr="00073924" w:rsidRDefault="007B0E14" w:rsidP="00517D38">
            <w:r w:rsidRPr="00073924">
              <w:t> </w:t>
            </w:r>
          </w:p>
        </w:tc>
        <w:tc>
          <w:tcPr>
            <w:tcW w:w="1277" w:type="dxa"/>
            <w:shd w:val="clear" w:color="auto" w:fill="auto"/>
            <w:noWrap/>
            <w:vAlign w:val="center"/>
            <w:hideMark/>
          </w:tcPr>
          <w:p w14:paraId="6BFD8887" w14:textId="77777777" w:rsidR="007B0E14" w:rsidRPr="00073924" w:rsidRDefault="007B0E14" w:rsidP="00517D38">
            <w:r w:rsidRPr="00073924">
              <w:t> </w:t>
            </w:r>
          </w:p>
        </w:tc>
      </w:tr>
      <w:tr w:rsidR="007B0E14" w:rsidRPr="00073924" w14:paraId="2AB617CF" w14:textId="77777777" w:rsidTr="00073924">
        <w:tc>
          <w:tcPr>
            <w:tcW w:w="1620" w:type="dxa"/>
            <w:shd w:val="clear" w:color="auto" w:fill="auto"/>
            <w:noWrap/>
            <w:vAlign w:val="center"/>
            <w:hideMark/>
          </w:tcPr>
          <w:p w14:paraId="51321E5C" w14:textId="77777777" w:rsidR="007B0E14" w:rsidRPr="00073924" w:rsidRDefault="007B0E14" w:rsidP="00517D38">
            <w:r w:rsidRPr="00073924">
              <w:t> </w:t>
            </w:r>
          </w:p>
        </w:tc>
        <w:tc>
          <w:tcPr>
            <w:tcW w:w="3870" w:type="dxa"/>
            <w:shd w:val="clear" w:color="auto" w:fill="auto"/>
            <w:noWrap/>
            <w:vAlign w:val="center"/>
            <w:hideMark/>
          </w:tcPr>
          <w:p w14:paraId="0AC3A357" w14:textId="77777777" w:rsidR="007B0E14" w:rsidRPr="00073924" w:rsidRDefault="007B0E14" w:rsidP="00517D38">
            <w:r w:rsidRPr="00073924">
              <w:t> </w:t>
            </w:r>
          </w:p>
        </w:tc>
        <w:tc>
          <w:tcPr>
            <w:tcW w:w="1370" w:type="dxa"/>
            <w:shd w:val="clear" w:color="auto" w:fill="auto"/>
            <w:noWrap/>
            <w:vAlign w:val="center"/>
            <w:hideMark/>
          </w:tcPr>
          <w:p w14:paraId="0E5DF402" w14:textId="77777777" w:rsidR="007B0E14" w:rsidRPr="00073924" w:rsidRDefault="007B0E14" w:rsidP="00517D38">
            <w:r w:rsidRPr="00073924">
              <w:t> </w:t>
            </w:r>
          </w:p>
        </w:tc>
        <w:tc>
          <w:tcPr>
            <w:tcW w:w="1362" w:type="dxa"/>
            <w:shd w:val="clear" w:color="auto" w:fill="auto"/>
            <w:noWrap/>
            <w:vAlign w:val="center"/>
            <w:hideMark/>
          </w:tcPr>
          <w:p w14:paraId="4566BB6E" w14:textId="77777777" w:rsidR="007B0E14" w:rsidRPr="00073924" w:rsidRDefault="007B0E14" w:rsidP="00517D38">
            <w:r w:rsidRPr="00073924">
              <w:t> </w:t>
            </w:r>
          </w:p>
        </w:tc>
        <w:tc>
          <w:tcPr>
            <w:tcW w:w="1277" w:type="dxa"/>
            <w:shd w:val="clear" w:color="auto" w:fill="auto"/>
            <w:noWrap/>
            <w:vAlign w:val="center"/>
            <w:hideMark/>
          </w:tcPr>
          <w:p w14:paraId="1131487A" w14:textId="77777777" w:rsidR="007B0E14" w:rsidRPr="00073924" w:rsidRDefault="007B0E14" w:rsidP="00517D38">
            <w:r w:rsidRPr="00073924">
              <w:t> </w:t>
            </w:r>
          </w:p>
        </w:tc>
      </w:tr>
      <w:tr w:rsidR="007B0E14" w:rsidRPr="00073924" w14:paraId="79252E24" w14:textId="77777777" w:rsidTr="00073924">
        <w:tc>
          <w:tcPr>
            <w:tcW w:w="5490" w:type="dxa"/>
            <w:gridSpan w:val="2"/>
            <w:shd w:val="clear" w:color="auto" w:fill="auto"/>
            <w:noWrap/>
            <w:vAlign w:val="center"/>
          </w:tcPr>
          <w:p w14:paraId="26BC2F7A" w14:textId="77777777" w:rsidR="007B0E14" w:rsidRPr="00073924" w:rsidRDefault="007B0E14" w:rsidP="00517D38">
            <w:pPr>
              <w:rPr>
                <w:b/>
                <w:bCs/>
              </w:rPr>
            </w:pPr>
            <w:r w:rsidRPr="00073924">
              <w:rPr>
                <w:b/>
                <w:bCs/>
              </w:rPr>
              <w:t>Total</w:t>
            </w:r>
          </w:p>
        </w:tc>
        <w:tc>
          <w:tcPr>
            <w:tcW w:w="4009" w:type="dxa"/>
            <w:gridSpan w:val="3"/>
            <w:shd w:val="clear" w:color="auto" w:fill="auto"/>
            <w:noWrap/>
            <w:vAlign w:val="center"/>
          </w:tcPr>
          <w:p w14:paraId="1C76158B" w14:textId="6F2C42E4" w:rsidR="007B0E14" w:rsidRPr="00073924" w:rsidRDefault="007B0E14" w:rsidP="00517D38">
            <w:pPr>
              <w:rPr>
                <w:b/>
                <w:bCs/>
              </w:rPr>
            </w:pPr>
          </w:p>
        </w:tc>
      </w:tr>
    </w:tbl>
    <w:p w14:paraId="22680135" w14:textId="77777777" w:rsidR="007B0E14" w:rsidRPr="00073924" w:rsidRDefault="007B0E14" w:rsidP="00517D38"/>
    <w:p w14:paraId="0B0317E9" w14:textId="77777777" w:rsidR="007B0E14" w:rsidRPr="00073924" w:rsidRDefault="007B0E14" w:rsidP="00517D38">
      <w:pPr>
        <w:pStyle w:val="ListParagraph"/>
        <w:keepNext/>
        <w:keepLines/>
        <w:numPr>
          <w:ilvl w:val="0"/>
          <w:numId w:val="10"/>
        </w:numPr>
        <w:spacing w:after="0" w:line="240" w:lineRule="auto"/>
        <w:rPr>
          <w:rFonts w:ascii="Times New Roman" w:hAnsi="Times New Roman"/>
        </w:rPr>
      </w:pPr>
      <w:r w:rsidRPr="00073924">
        <w:rPr>
          <w:rFonts w:ascii="Times New Roman" w:hAnsi="Times New Roman"/>
          <w:b/>
          <w:bCs/>
        </w:rPr>
        <w:t>Appendix Term:</w:t>
      </w:r>
      <w:r w:rsidRPr="00073924">
        <w:rPr>
          <w:rFonts w:ascii="Times New Roman" w:hAnsi="Times New Roman"/>
          <w:bCs/>
        </w:rPr>
        <w:t xml:space="preserve"> </w:t>
      </w:r>
      <w:r w:rsidRPr="00073924">
        <w:rPr>
          <w:rFonts w:ascii="Times New Roman" w:hAnsi="Times New Roman"/>
        </w:rPr>
        <w:t>_____ through _____.</w:t>
      </w:r>
    </w:p>
    <w:p w14:paraId="10B90E54" w14:textId="77777777" w:rsidR="007B0E14" w:rsidRPr="00073924" w:rsidRDefault="007B0E14" w:rsidP="00517D38">
      <w:pPr>
        <w:pStyle w:val="ListParagraph"/>
        <w:keepNext/>
        <w:keepLines/>
        <w:numPr>
          <w:ilvl w:val="1"/>
          <w:numId w:val="10"/>
        </w:numPr>
        <w:spacing w:after="0" w:line="240" w:lineRule="auto"/>
        <w:rPr>
          <w:rFonts w:ascii="Times New Roman" w:hAnsi="Times New Roman"/>
        </w:rPr>
      </w:pPr>
      <w:r w:rsidRPr="00073924">
        <w:rPr>
          <w:rFonts w:ascii="Times New Roman" w:hAnsi="Times New Roman"/>
        </w:rPr>
        <w:t>During this period, the Customer may license additional products under this Appendix and the Agreement.</w:t>
      </w:r>
    </w:p>
    <w:p w14:paraId="26676756" w14:textId="660C9F72" w:rsidR="007B0E14" w:rsidRPr="00073924" w:rsidRDefault="007B0E14" w:rsidP="00517D38">
      <w:pPr>
        <w:pStyle w:val="ListParagraph"/>
        <w:keepNext/>
        <w:keepLines/>
        <w:numPr>
          <w:ilvl w:val="1"/>
          <w:numId w:val="10"/>
        </w:numPr>
        <w:spacing w:after="0" w:line="240" w:lineRule="auto"/>
        <w:rPr>
          <w:rFonts w:ascii="Times New Roman" w:hAnsi="Times New Roman"/>
        </w:rPr>
      </w:pPr>
      <w:r w:rsidRPr="00073924">
        <w:rPr>
          <w:rFonts w:ascii="Times New Roman" w:hAnsi="Times New Roman"/>
        </w:rPr>
        <w:t xml:space="preserve">The Appendix Term may never exceed the </w:t>
      </w:r>
      <w:r w:rsidR="001B4B3A">
        <w:rPr>
          <w:rFonts w:ascii="Times New Roman" w:hAnsi="Times New Roman"/>
        </w:rPr>
        <w:t>T</w:t>
      </w:r>
      <w:r w:rsidRPr="00073924">
        <w:rPr>
          <w:rFonts w:ascii="Times New Roman" w:hAnsi="Times New Roman"/>
        </w:rPr>
        <w:t xml:space="preserve">erm of the Agreement as set forth in </w:t>
      </w:r>
      <w:r w:rsidR="00517D38" w:rsidRPr="00073924">
        <w:rPr>
          <w:rFonts w:ascii="Times New Roman" w:hAnsi="Times New Roman"/>
        </w:rPr>
        <w:t xml:space="preserve">Section 7.1. </w:t>
      </w:r>
      <w:r w:rsidRPr="00073924">
        <w:rPr>
          <w:rFonts w:ascii="Times New Roman" w:hAnsi="Times New Roman"/>
        </w:rPr>
        <w:t>of the Agreement.</w:t>
      </w:r>
    </w:p>
    <w:p w14:paraId="67F41845" w14:textId="77777777" w:rsidR="00C06715" w:rsidRPr="00073924" w:rsidRDefault="00C06715" w:rsidP="00517D38">
      <w:pPr>
        <w:rPr>
          <w:szCs w:val="22"/>
          <w:bdr w:val="single" w:sz="4" w:space="0" w:color="auto"/>
        </w:rPr>
      </w:pPr>
    </w:p>
    <w:p w14:paraId="1A53FA97" w14:textId="77777777" w:rsidR="007B0E14" w:rsidRPr="00073924" w:rsidRDefault="007B0E14" w:rsidP="00517D38">
      <w:pPr>
        <w:rPr>
          <w:szCs w:val="22"/>
          <w:bdr w:val="single" w:sz="4" w:space="0" w:color="auto"/>
        </w:rPr>
      </w:pPr>
    </w:p>
    <w:p w14:paraId="22C13F6F" w14:textId="77777777" w:rsidR="00B87D91" w:rsidRPr="00073924" w:rsidRDefault="689D096F" w:rsidP="00517D38">
      <w:pPr>
        <w:pStyle w:val="Heading1"/>
        <w:rPr>
          <w:bCs/>
        </w:rPr>
      </w:pPr>
      <w:r w:rsidRPr="00073924">
        <w:rPr>
          <w:szCs w:val="22"/>
        </w:rPr>
        <w:br w:type="page"/>
      </w:r>
      <w:r w:rsidR="00741570" w:rsidRPr="00073924">
        <w:lastRenderedPageBreak/>
        <w:t>APPENDIX E(a)</w:t>
      </w:r>
      <w:r w:rsidR="00A71B84" w:rsidRPr="00073924">
        <w:t>:</w:t>
      </w:r>
      <w:r w:rsidR="00741570" w:rsidRPr="00073924">
        <w:t xml:space="preserve"> ONLINE BOOKS </w:t>
      </w:r>
      <w:r w:rsidR="00741570" w:rsidRPr="00DE7560">
        <w:t xml:space="preserve">– </w:t>
      </w:r>
      <w:r w:rsidR="0086224B" w:rsidRPr="00DE7560">
        <w:t>One-</w:t>
      </w:r>
      <w:r w:rsidR="00356189" w:rsidRPr="00DE7560">
        <w:t>t</w:t>
      </w:r>
      <w:r w:rsidR="0086224B" w:rsidRPr="00DE7560">
        <w:t>ime license</w:t>
      </w:r>
    </w:p>
    <w:p w14:paraId="6AAB5139" w14:textId="77777777" w:rsidR="00555289" w:rsidRPr="00073924" w:rsidRDefault="0078399B" w:rsidP="00517D38">
      <w:pPr>
        <w:rPr>
          <w:szCs w:val="22"/>
        </w:rPr>
      </w:pPr>
      <w:r w:rsidRPr="00073924">
        <w:rPr>
          <w:szCs w:val="22"/>
        </w:rPr>
        <w:t>Customer:</w:t>
      </w:r>
      <w:r w:rsidR="00A02D98" w:rsidRPr="00073924">
        <w:rPr>
          <w:szCs w:val="22"/>
        </w:rPr>
        <w:t xml:space="preserve"> </w:t>
      </w:r>
    </w:p>
    <w:p w14:paraId="4957F7FC" w14:textId="77777777" w:rsidR="00B87D91" w:rsidRPr="00073924" w:rsidRDefault="00B87D91" w:rsidP="00517D38">
      <w:pPr>
        <w:tabs>
          <w:tab w:val="left" w:pos="720"/>
          <w:tab w:val="left" w:pos="5040"/>
          <w:tab w:val="left" w:pos="5760"/>
        </w:tabs>
        <w:rPr>
          <w:szCs w:val="22"/>
        </w:rPr>
      </w:pPr>
    </w:p>
    <w:p w14:paraId="4ED15730" w14:textId="77777777" w:rsidR="00B87D91" w:rsidRPr="00073924" w:rsidRDefault="00B87D91" w:rsidP="00517D38">
      <w:pPr>
        <w:tabs>
          <w:tab w:val="left" w:pos="5040"/>
          <w:tab w:val="left" w:pos="5760"/>
        </w:tabs>
        <w:rPr>
          <w:szCs w:val="22"/>
        </w:rPr>
      </w:pPr>
      <w:r w:rsidRPr="00073924">
        <w:rPr>
          <w:szCs w:val="22"/>
        </w:rPr>
        <w:t xml:space="preserve">Wiley </w:t>
      </w:r>
      <w:r w:rsidR="00477037" w:rsidRPr="00073924">
        <w:rPr>
          <w:szCs w:val="22"/>
        </w:rPr>
        <w:t>Online Library</w:t>
      </w:r>
      <w:r w:rsidRPr="00073924">
        <w:rPr>
          <w:szCs w:val="22"/>
        </w:rPr>
        <w:t xml:space="preserve"> Online</w:t>
      </w:r>
      <w:r w:rsidR="007834F5" w:rsidRPr="00073924">
        <w:rPr>
          <w:szCs w:val="22"/>
        </w:rPr>
        <w:t xml:space="preserve"> </w:t>
      </w:r>
      <w:r w:rsidRPr="00073924">
        <w:rPr>
          <w:szCs w:val="22"/>
        </w:rPr>
        <w:t xml:space="preserve">Books are the electronic editions of Wiley books to which the </w:t>
      </w:r>
      <w:r w:rsidR="009977FF" w:rsidRPr="00073924">
        <w:rPr>
          <w:szCs w:val="22"/>
        </w:rPr>
        <w:t>Customer</w:t>
      </w:r>
      <w:r w:rsidRPr="00073924">
        <w:rPr>
          <w:szCs w:val="22"/>
        </w:rPr>
        <w:t xml:space="preserve"> has access under this </w:t>
      </w:r>
      <w:r w:rsidR="009977FF" w:rsidRPr="00073924">
        <w:rPr>
          <w:szCs w:val="22"/>
        </w:rPr>
        <w:t>Agreement</w:t>
      </w:r>
      <w:r w:rsidRPr="00073924">
        <w:rPr>
          <w:szCs w:val="22"/>
        </w:rPr>
        <w:t>.</w:t>
      </w:r>
      <w:r w:rsidR="00A7424A" w:rsidRPr="00073924">
        <w:rPr>
          <w:szCs w:val="22"/>
        </w:rPr>
        <w:t xml:space="preserve"> </w:t>
      </w:r>
      <w:r w:rsidRPr="00073924">
        <w:rPr>
          <w:szCs w:val="22"/>
        </w:rPr>
        <w:t xml:space="preserve">They may include tables of content, abstracts, full text and illustrations, data tables and additional content not included in the print versions of the books. </w:t>
      </w:r>
    </w:p>
    <w:p w14:paraId="500AA1B5" w14:textId="77777777" w:rsidR="00B87D91" w:rsidRPr="00073924" w:rsidRDefault="00B87D91" w:rsidP="00517D38">
      <w:pPr>
        <w:rPr>
          <w:szCs w:val="22"/>
        </w:rPr>
      </w:pPr>
    </w:p>
    <w:p w14:paraId="42EA6B5B" w14:textId="0960E6FC" w:rsidR="005E0C94" w:rsidRDefault="005E0C94" w:rsidP="00517D38">
      <w:pPr>
        <w:pStyle w:val="ProductAppendecisLevel4"/>
        <w:numPr>
          <w:ilvl w:val="0"/>
          <w:numId w:val="11"/>
        </w:numPr>
        <w:rPr>
          <w:rFonts w:cs="Times New Roman"/>
          <w:lang w:val="en-US"/>
        </w:rPr>
      </w:pPr>
      <w:r w:rsidRPr="00073924">
        <w:rPr>
          <w:rFonts w:cs="Times New Roman"/>
          <w:b/>
          <w:bCs/>
          <w:lang w:val="en-US"/>
        </w:rPr>
        <w:t xml:space="preserve">Access: </w:t>
      </w:r>
      <w:r w:rsidRPr="00073924">
        <w:rPr>
          <w:rFonts w:cs="Times New Roman"/>
          <w:lang w:val="en-US"/>
        </w:rPr>
        <w:t xml:space="preserve">A One-Time license will entitle the Customer to the Online Books that are available during the license term. </w:t>
      </w:r>
    </w:p>
    <w:p w14:paraId="658A0159" w14:textId="63A84A9B" w:rsidR="00404CB4" w:rsidRPr="00285825" w:rsidRDefault="00404CB4" w:rsidP="00285825">
      <w:pPr>
        <w:pStyle w:val="ProductAppendecisLevel4"/>
        <w:numPr>
          <w:ilvl w:val="1"/>
          <w:numId w:val="34"/>
        </w:numPr>
      </w:pPr>
      <w:r>
        <w:rPr>
          <w:rFonts w:cs="Times New Roman"/>
          <w:lang w:val="en-US"/>
        </w:rPr>
        <w:t xml:space="preserve"> </w:t>
      </w:r>
      <w:r w:rsidRPr="00404CB4">
        <w:t xml:space="preserve">The content for which Perpetual Access is guaranteed is that available during the calendar year in which the Electronic Product was licensed. </w:t>
      </w:r>
    </w:p>
    <w:p w14:paraId="46E82BC2" w14:textId="77777777" w:rsidR="00B87D91" w:rsidRPr="00073924" w:rsidRDefault="00B87D91" w:rsidP="00517D38">
      <w:pPr>
        <w:pStyle w:val="Header"/>
        <w:widowControl/>
        <w:tabs>
          <w:tab w:val="clear" w:pos="4320"/>
          <w:tab w:val="clear" w:pos="8640"/>
          <w:tab w:val="left" w:pos="720"/>
          <w:tab w:val="left" w:pos="5040"/>
          <w:tab w:val="left" w:pos="5760"/>
        </w:tabs>
        <w:rPr>
          <w:szCs w:val="22"/>
        </w:rPr>
      </w:pPr>
    </w:p>
    <w:p w14:paraId="53E385EB" w14:textId="77777777" w:rsidR="007B0E14" w:rsidRPr="00073924" w:rsidRDefault="007B0E14" w:rsidP="00285825">
      <w:pPr>
        <w:pStyle w:val="ListParagraph"/>
        <w:keepNext/>
        <w:keepLines/>
        <w:numPr>
          <w:ilvl w:val="0"/>
          <w:numId w:val="35"/>
        </w:numPr>
        <w:spacing w:after="0" w:line="240" w:lineRule="auto"/>
        <w:rPr>
          <w:rFonts w:ascii="Times New Roman" w:hAnsi="Times New Roman"/>
        </w:rPr>
      </w:pPr>
      <w:r w:rsidRPr="00073924">
        <w:rPr>
          <w:rFonts w:ascii="Times New Roman" w:hAnsi="Times New Roman"/>
          <w:b/>
          <w:bCs/>
        </w:rPr>
        <w:t xml:space="preserve">Fees: </w:t>
      </w:r>
      <w:r w:rsidRPr="00073924">
        <w:rPr>
          <w:rFonts w:ascii="Times New Roman" w:hAnsi="Times New Roman"/>
        </w:rPr>
        <w:t xml:space="preserve">Online Books One-Time license Fees will be calculated based on the current US list </w:t>
      </w:r>
      <w:r w:rsidR="00517D38" w:rsidRPr="00073924">
        <w:rPr>
          <w:rFonts w:ascii="Times New Roman" w:hAnsi="Times New Roman"/>
        </w:rPr>
        <w:t>fee</w:t>
      </w:r>
      <w:r w:rsidRPr="00073924">
        <w:rPr>
          <w:rFonts w:ascii="Times New Roman" w:hAnsi="Times New Roman"/>
        </w:rPr>
        <w:t xml:space="preserve"> at the time the license begins, and a multiplier based on the Customer’s FTE.</w:t>
      </w:r>
    </w:p>
    <w:p w14:paraId="33F8F458" w14:textId="77777777" w:rsidR="007B0E14" w:rsidRPr="00073924" w:rsidRDefault="007B0E14" w:rsidP="00285825">
      <w:pPr>
        <w:pStyle w:val="ListParagraph"/>
        <w:keepNext/>
        <w:keepLines/>
        <w:numPr>
          <w:ilvl w:val="1"/>
          <w:numId w:val="35"/>
        </w:numPr>
        <w:spacing w:after="0" w:line="240" w:lineRule="auto"/>
        <w:rPr>
          <w:rFonts w:ascii="Times New Roman" w:hAnsi="Times New Roman"/>
        </w:rPr>
      </w:pPr>
      <w:r w:rsidRPr="00073924">
        <w:rPr>
          <w:rFonts w:ascii="Times New Roman" w:hAnsi="Times New Roman"/>
        </w:rPr>
        <w:t xml:space="preserve">Titles may be subsequently added in any amounts by contacting the appropriate Account Manager. Any titles licensed </w:t>
      </w:r>
      <w:proofErr w:type="gramStart"/>
      <w:r w:rsidRPr="00073924">
        <w:rPr>
          <w:rFonts w:ascii="Times New Roman" w:hAnsi="Times New Roman"/>
        </w:rPr>
        <w:t>subsequent to</w:t>
      </w:r>
      <w:proofErr w:type="gramEnd"/>
      <w:r w:rsidRPr="00073924">
        <w:rPr>
          <w:rFonts w:ascii="Times New Roman" w:hAnsi="Times New Roman"/>
        </w:rPr>
        <w:t xml:space="preserve"> this may be added under the terms of this Appendix and their use will be governed by the terms of this Agreement. No additional Agreement documentation is required.</w:t>
      </w:r>
    </w:p>
    <w:p w14:paraId="70C2AD95" w14:textId="77777777" w:rsidR="007B0E14" w:rsidRPr="00073924" w:rsidRDefault="007B0E14" w:rsidP="00285825">
      <w:pPr>
        <w:pStyle w:val="ListParagraph"/>
        <w:keepNext/>
        <w:keepLines/>
        <w:numPr>
          <w:ilvl w:val="1"/>
          <w:numId w:val="35"/>
        </w:numPr>
        <w:spacing w:after="0" w:line="240" w:lineRule="auto"/>
        <w:rPr>
          <w:rFonts w:ascii="Times New Roman" w:hAnsi="Times New Roman"/>
        </w:rPr>
      </w:pPr>
      <w:r w:rsidRPr="00073924">
        <w:rPr>
          <w:rFonts w:ascii="Times New Roman" w:hAnsi="Times New Roman"/>
        </w:rPr>
        <w:t xml:space="preserve">Discount may be applicable based on the total quantity of books and the Customer’s FTE </w:t>
      </w:r>
      <w:proofErr w:type="gramStart"/>
      <w:r w:rsidRPr="00073924">
        <w:rPr>
          <w:rFonts w:ascii="Times New Roman" w:hAnsi="Times New Roman"/>
        </w:rPr>
        <w:t>count .</w:t>
      </w:r>
      <w:proofErr w:type="gramEnd"/>
    </w:p>
    <w:p w14:paraId="778A1042" w14:textId="77777777" w:rsidR="007B0E14" w:rsidRPr="00073924" w:rsidRDefault="007B0E14" w:rsidP="00285825">
      <w:pPr>
        <w:pStyle w:val="ListParagraph"/>
        <w:keepNext/>
        <w:keepLines/>
        <w:numPr>
          <w:ilvl w:val="1"/>
          <w:numId w:val="35"/>
        </w:numPr>
        <w:spacing w:after="0" w:line="240" w:lineRule="auto"/>
        <w:rPr>
          <w:rFonts w:ascii="Times New Roman" w:hAnsi="Times New Roman"/>
        </w:rPr>
      </w:pPr>
      <w:r w:rsidRPr="00073924">
        <w:rPr>
          <w:rFonts w:ascii="Times New Roman" w:hAnsi="Times New Roman"/>
        </w:rPr>
        <w:t>The titles for the initial license are listed with fees in Appendix E(a)1.</w:t>
      </w:r>
    </w:p>
    <w:p w14:paraId="069E99CF" w14:textId="77777777" w:rsidR="007B0E14" w:rsidRPr="00073924" w:rsidRDefault="007B0E14" w:rsidP="00517D38"/>
    <w:p w14:paraId="0D7F47FC" w14:textId="77777777" w:rsidR="007B0E14" w:rsidRPr="00073924" w:rsidRDefault="007B0E14" w:rsidP="00285825">
      <w:pPr>
        <w:pStyle w:val="ListParagraph"/>
        <w:keepNext/>
        <w:keepLines/>
        <w:numPr>
          <w:ilvl w:val="0"/>
          <w:numId w:val="35"/>
        </w:numPr>
        <w:spacing w:after="0" w:line="240" w:lineRule="auto"/>
        <w:rPr>
          <w:rFonts w:ascii="Times New Roman" w:hAnsi="Times New Roman"/>
        </w:rPr>
      </w:pPr>
      <w:r w:rsidRPr="00073924">
        <w:rPr>
          <w:rFonts w:ascii="Times New Roman" w:hAnsi="Times New Roman"/>
          <w:b/>
          <w:bCs/>
        </w:rPr>
        <w:t>Appendix Term:</w:t>
      </w:r>
      <w:r w:rsidRPr="00073924">
        <w:rPr>
          <w:rFonts w:ascii="Times New Roman" w:hAnsi="Times New Roman"/>
          <w:bCs/>
        </w:rPr>
        <w:t xml:space="preserve"> </w:t>
      </w:r>
      <w:r w:rsidRPr="00073924">
        <w:rPr>
          <w:rFonts w:ascii="Times New Roman" w:hAnsi="Times New Roman"/>
        </w:rPr>
        <w:t>_____ through _____.</w:t>
      </w:r>
    </w:p>
    <w:p w14:paraId="66F94159" w14:textId="77777777" w:rsidR="007B0E14" w:rsidRPr="00073924" w:rsidRDefault="007B0E14" w:rsidP="00285825">
      <w:pPr>
        <w:pStyle w:val="ListParagraph"/>
        <w:keepNext/>
        <w:keepLines/>
        <w:numPr>
          <w:ilvl w:val="1"/>
          <w:numId w:val="35"/>
        </w:numPr>
        <w:spacing w:after="0" w:line="240" w:lineRule="auto"/>
        <w:rPr>
          <w:rFonts w:ascii="Times New Roman" w:hAnsi="Times New Roman"/>
        </w:rPr>
      </w:pPr>
      <w:r w:rsidRPr="00073924">
        <w:rPr>
          <w:rFonts w:ascii="Times New Roman" w:hAnsi="Times New Roman"/>
        </w:rPr>
        <w:t>During this period, the Customer may license additional products under this Appendix and the Agreement.</w:t>
      </w:r>
    </w:p>
    <w:p w14:paraId="034CD305" w14:textId="0EC4B214" w:rsidR="007B0E14" w:rsidRPr="00073924" w:rsidRDefault="007B0E14" w:rsidP="00285825">
      <w:pPr>
        <w:pStyle w:val="ListParagraph"/>
        <w:keepNext/>
        <w:keepLines/>
        <w:numPr>
          <w:ilvl w:val="1"/>
          <w:numId w:val="35"/>
        </w:numPr>
        <w:spacing w:after="0" w:line="240" w:lineRule="auto"/>
        <w:rPr>
          <w:rFonts w:ascii="Times New Roman" w:hAnsi="Times New Roman"/>
        </w:rPr>
      </w:pPr>
      <w:r w:rsidRPr="00073924">
        <w:rPr>
          <w:rFonts w:ascii="Times New Roman" w:hAnsi="Times New Roman"/>
        </w:rPr>
        <w:t xml:space="preserve">The Appendix Term may never exceed the </w:t>
      </w:r>
      <w:r w:rsidR="00614D94">
        <w:rPr>
          <w:rFonts w:ascii="Times New Roman" w:hAnsi="Times New Roman"/>
        </w:rPr>
        <w:t>T</w:t>
      </w:r>
      <w:r w:rsidRPr="00073924">
        <w:rPr>
          <w:rFonts w:ascii="Times New Roman" w:hAnsi="Times New Roman"/>
        </w:rPr>
        <w:t xml:space="preserve">erm of the Agreement as set forth in </w:t>
      </w:r>
      <w:r w:rsidR="00517D38" w:rsidRPr="00073924">
        <w:rPr>
          <w:rFonts w:ascii="Times New Roman" w:hAnsi="Times New Roman"/>
        </w:rPr>
        <w:t xml:space="preserve">Section 7.1. </w:t>
      </w:r>
      <w:r w:rsidRPr="00073924">
        <w:rPr>
          <w:rFonts w:ascii="Times New Roman" w:hAnsi="Times New Roman"/>
        </w:rPr>
        <w:t>of the Agreement.</w:t>
      </w:r>
    </w:p>
    <w:p w14:paraId="35481892" w14:textId="77777777" w:rsidR="00330526" w:rsidRPr="00073924" w:rsidRDefault="00330526" w:rsidP="00517D38">
      <w:pPr>
        <w:rPr>
          <w:szCs w:val="22"/>
        </w:rPr>
      </w:pPr>
    </w:p>
    <w:p w14:paraId="29E363E5" w14:textId="77777777" w:rsidR="00AC7303" w:rsidRPr="00073924" w:rsidRDefault="00AC7303" w:rsidP="00517D38">
      <w:pPr>
        <w:rPr>
          <w:szCs w:val="22"/>
        </w:rPr>
      </w:pPr>
    </w:p>
    <w:p w14:paraId="137C2448" w14:textId="77777777" w:rsidR="00356189" w:rsidRPr="00073924" w:rsidRDefault="00356189" w:rsidP="00517D38">
      <w:pPr>
        <w:pStyle w:val="ProductAppendicesTitle"/>
        <w:rPr>
          <w:rFonts w:cs="Times New Roman"/>
          <w:lang w:val="en-US"/>
        </w:rPr>
      </w:pPr>
      <w:r w:rsidRPr="00073924">
        <w:rPr>
          <w:rFonts w:cs="Times New Roman"/>
          <w:lang w:val="en-US"/>
        </w:rPr>
        <w:t>APPENDIX E (a) 1–ONLINE BOOKS – One-time license – Title List</w:t>
      </w:r>
    </w:p>
    <w:p w14:paraId="1C889AB3" w14:textId="77777777" w:rsidR="00931EE9" w:rsidRPr="00073924" w:rsidRDefault="00356189" w:rsidP="00517D38">
      <w:r w:rsidRPr="00073924">
        <w:t>Customer:</w:t>
      </w:r>
    </w:p>
    <w:p w14:paraId="3FA395E0" w14:textId="77777777" w:rsidR="00356189" w:rsidRPr="00073924" w:rsidRDefault="00356189" w:rsidP="00517D38">
      <w:pPr>
        <w:rPr>
          <w:szCs w:val="22"/>
        </w:rPr>
      </w:pPr>
    </w:p>
    <w:tbl>
      <w:tblPr>
        <w:tblW w:w="949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870"/>
        <w:gridCol w:w="1370"/>
        <w:gridCol w:w="1362"/>
        <w:gridCol w:w="1277"/>
      </w:tblGrid>
      <w:tr w:rsidR="00356189" w:rsidRPr="00073924" w14:paraId="51EED5D3" w14:textId="77777777" w:rsidTr="00073924">
        <w:tc>
          <w:tcPr>
            <w:tcW w:w="1620" w:type="dxa"/>
            <w:shd w:val="clear" w:color="auto" w:fill="auto"/>
            <w:noWrap/>
            <w:vAlign w:val="center"/>
            <w:hideMark/>
          </w:tcPr>
          <w:p w14:paraId="01B98BD8" w14:textId="77777777" w:rsidR="00356189" w:rsidRPr="00073924" w:rsidRDefault="00356189" w:rsidP="00517D38">
            <w:pPr>
              <w:widowControl/>
              <w:rPr>
                <w:b/>
                <w:bCs/>
                <w:color w:val="000000"/>
                <w:szCs w:val="22"/>
                <w:lang w:eastAsia="zh-CN"/>
              </w:rPr>
            </w:pPr>
            <w:r w:rsidRPr="00073924">
              <w:rPr>
                <w:b/>
                <w:bCs/>
                <w:color w:val="000000"/>
                <w:szCs w:val="22"/>
                <w:lang w:eastAsia="zh-CN"/>
              </w:rPr>
              <w:t>Catalog or Collection</w:t>
            </w:r>
          </w:p>
        </w:tc>
        <w:tc>
          <w:tcPr>
            <w:tcW w:w="3870" w:type="dxa"/>
            <w:shd w:val="clear" w:color="auto" w:fill="auto"/>
            <w:noWrap/>
            <w:vAlign w:val="center"/>
            <w:hideMark/>
          </w:tcPr>
          <w:p w14:paraId="46368C4D" w14:textId="77777777" w:rsidR="00356189" w:rsidRPr="00073924" w:rsidRDefault="00356189" w:rsidP="00517D38">
            <w:pPr>
              <w:widowControl/>
              <w:rPr>
                <w:b/>
                <w:bCs/>
                <w:color w:val="000000"/>
                <w:szCs w:val="22"/>
                <w:lang w:eastAsia="zh-CN"/>
              </w:rPr>
            </w:pPr>
            <w:r w:rsidRPr="00073924">
              <w:rPr>
                <w:b/>
                <w:bCs/>
                <w:color w:val="000000"/>
                <w:szCs w:val="22"/>
                <w:lang w:eastAsia="zh-CN"/>
              </w:rPr>
              <w:t>Title</w:t>
            </w:r>
          </w:p>
        </w:tc>
        <w:tc>
          <w:tcPr>
            <w:tcW w:w="1370" w:type="dxa"/>
            <w:shd w:val="clear" w:color="auto" w:fill="auto"/>
            <w:noWrap/>
            <w:vAlign w:val="center"/>
            <w:hideMark/>
          </w:tcPr>
          <w:p w14:paraId="35B12D9B" w14:textId="77777777" w:rsidR="00356189" w:rsidRPr="00073924" w:rsidRDefault="00356189" w:rsidP="00517D38">
            <w:pPr>
              <w:widowControl/>
              <w:rPr>
                <w:b/>
                <w:bCs/>
                <w:color w:val="000000"/>
                <w:szCs w:val="22"/>
                <w:lang w:eastAsia="zh-CN"/>
              </w:rPr>
            </w:pPr>
            <w:r w:rsidRPr="00073924">
              <w:rPr>
                <w:b/>
                <w:bCs/>
                <w:color w:val="000000"/>
                <w:szCs w:val="22"/>
                <w:lang w:eastAsia="zh-CN"/>
              </w:rPr>
              <w:t>ISSN / ISBN</w:t>
            </w:r>
          </w:p>
        </w:tc>
        <w:tc>
          <w:tcPr>
            <w:tcW w:w="1362" w:type="dxa"/>
            <w:shd w:val="clear" w:color="auto" w:fill="auto"/>
            <w:noWrap/>
            <w:vAlign w:val="center"/>
            <w:hideMark/>
          </w:tcPr>
          <w:p w14:paraId="692F76A9" w14:textId="77777777" w:rsidR="00356189" w:rsidRPr="00073924" w:rsidRDefault="00356189" w:rsidP="00517D38">
            <w:pPr>
              <w:widowControl/>
              <w:rPr>
                <w:b/>
                <w:bCs/>
                <w:color w:val="000000"/>
                <w:szCs w:val="22"/>
                <w:lang w:eastAsia="zh-CN"/>
              </w:rPr>
            </w:pPr>
            <w:r w:rsidRPr="00073924">
              <w:rPr>
                <w:b/>
                <w:bCs/>
                <w:color w:val="000000"/>
                <w:szCs w:val="22"/>
                <w:lang w:eastAsia="zh-CN"/>
              </w:rPr>
              <w:t>Years Included</w:t>
            </w:r>
          </w:p>
        </w:tc>
        <w:tc>
          <w:tcPr>
            <w:tcW w:w="1277" w:type="dxa"/>
            <w:shd w:val="clear" w:color="auto" w:fill="auto"/>
            <w:noWrap/>
            <w:vAlign w:val="center"/>
            <w:hideMark/>
          </w:tcPr>
          <w:p w14:paraId="5CE82C0D" w14:textId="77777777" w:rsidR="00356189" w:rsidRPr="00073924" w:rsidRDefault="00356189" w:rsidP="00517D38">
            <w:pPr>
              <w:widowControl/>
              <w:rPr>
                <w:b/>
                <w:bCs/>
                <w:color w:val="000000"/>
                <w:szCs w:val="22"/>
                <w:lang w:eastAsia="zh-CN"/>
              </w:rPr>
            </w:pPr>
            <w:r w:rsidRPr="00073924">
              <w:rPr>
                <w:b/>
                <w:bCs/>
                <w:color w:val="000000"/>
                <w:szCs w:val="22"/>
                <w:lang w:eastAsia="zh-CN"/>
              </w:rPr>
              <w:t>Fee</w:t>
            </w:r>
          </w:p>
        </w:tc>
      </w:tr>
      <w:tr w:rsidR="00356189" w:rsidRPr="00073924" w14:paraId="3C188938" w14:textId="77777777" w:rsidTr="00073924">
        <w:tc>
          <w:tcPr>
            <w:tcW w:w="1620" w:type="dxa"/>
            <w:shd w:val="clear" w:color="auto" w:fill="auto"/>
            <w:noWrap/>
            <w:vAlign w:val="center"/>
            <w:hideMark/>
          </w:tcPr>
          <w:p w14:paraId="10E8F81B" w14:textId="77777777" w:rsidR="00356189" w:rsidRPr="00073924" w:rsidRDefault="00356189" w:rsidP="00517D38">
            <w:pPr>
              <w:widowControl/>
              <w:rPr>
                <w:color w:val="000000"/>
                <w:szCs w:val="22"/>
                <w:lang w:eastAsia="zh-CN"/>
              </w:rPr>
            </w:pPr>
            <w:r w:rsidRPr="00073924">
              <w:rPr>
                <w:color w:val="000000"/>
                <w:szCs w:val="22"/>
                <w:lang w:eastAsia="zh-CN"/>
              </w:rPr>
              <w:t> </w:t>
            </w:r>
          </w:p>
        </w:tc>
        <w:tc>
          <w:tcPr>
            <w:tcW w:w="3870" w:type="dxa"/>
            <w:shd w:val="clear" w:color="auto" w:fill="auto"/>
            <w:noWrap/>
            <w:vAlign w:val="center"/>
            <w:hideMark/>
          </w:tcPr>
          <w:p w14:paraId="5482E1A0" w14:textId="77777777" w:rsidR="00356189" w:rsidRPr="00073924" w:rsidRDefault="00356189" w:rsidP="00517D38">
            <w:pPr>
              <w:widowControl/>
              <w:rPr>
                <w:color w:val="000000"/>
                <w:szCs w:val="22"/>
                <w:lang w:eastAsia="zh-CN"/>
              </w:rPr>
            </w:pPr>
            <w:r w:rsidRPr="00073924">
              <w:rPr>
                <w:color w:val="000000"/>
                <w:szCs w:val="22"/>
                <w:lang w:eastAsia="zh-CN"/>
              </w:rPr>
              <w:t> </w:t>
            </w:r>
          </w:p>
        </w:tc>
        <w:tc>
          <w:tcPr>
            <w:tcW w:w="1370" w:type="dxa"/>
            <w:shd w:val="clear" w:color="auto" w:fill="auto"/>
            <w:noWrap/>
            <w:vAlign w:val="center"/>
            <w:hideMark/>
          </w:tcPr>
          <w:p w14:paraId="3C168B58" w14:textId="77777777" w:rsidR="00356189" w:rsidRPr="00073924" w:rsidRDefault="00356189" w:rsidP="00517D38">
            <w:pPr>
              <w:widowControl/>
              <w:rPr>
                <w:color w:val="000000"/>
                <w:szCs w:val="22"/>
                <w:lang w:eastAsia="zh-CN"/>
              </w:rPr>
            </w:pPr>
            <w:r w:rsidRPr="00073924">
              <w:rPr>
                <w:color w:val="000000"/>
                <w:szCs w:val="22"/>
                <w:lang w:eastAsia="zh-CN"/>
              </w:rPr>
              <w:t> </w:t>
            </w:r>
          </w:p>
        </w:tc>
        <w:tc>
          <w:tcPr>
            <w:tcW w:w="1362" w:type="dxa"/>
            <w:shd w:val="clear" w:color="auto" w:fill="auto"/>
            <w:noWrap/>
            <w:vAlign w:val="center"/>
            <w:hideMark/>
          </w:tcPr>
          <w:p w14:paraId="47EC8F1A" w14:textId="77777777" w:rsidR="00356189" w:rsidRPr="00073924" w:rsidRDefault="00356189" w:rsidP="00517D38">
            <w:pPr>
              <w:widowControl/>
              <w:rPr>
                <w:color w:val="000000"/>
                <w:szCs w:val="22"/>
                <w:lang w:eastAsia="zh-CN"/>
              </w:rPr>
            </w:pPr>
            <w:r w:rsidRPr="00073924">
              <w:rPr>
                <w:color w:val="000000"/>
                <w:szCs w:val="22"/>
                <w:lang w:eastAsia="zh-CN"/>
              </w:rPr>
              <w:t> </w:t>
            </w:r>
          </w:p>
        </w:tc>
        <w:tc>
          <w:tcPr>
            <w:tcW w:w="1277" w:type="dxa"/>
            <w:shd w:val="clear" w:color="auto" w:fill="auto"/>
            <w:noWrap/>
            <w:vAlign w:val="center"/>
            <w:hideMark/>
          </w:tcPr>
          <w:p w14:paraId="593AB402" w14:textId="77777777" w:rsidR="00356189" w:rsidRPr="00073924" w:rsidRDefault="00356189" w:rsidP="00517D38">
            <w:pPr>
              <w:widowControl/>
              <w:rPr>
                <w:color w:val="000000"/>
                <w:szCs w:val="22"/>
                <w:lang w:eastAsia="zh-CN"/>
              </w:rPr>
            </w:pPr>
            <w:r w:rsidRPr="00073924">
              <w:rPr>
                <w:color w:val="000000"/>
                <w:szCs w:val="22"/>
                <w:lang w:eastAsia="zh-CN"/>
              </w:rPr>
              <w:t> </w:t>
            </w:r>
          </w:p>
        </w:tc>
      </w:tr>
      <w:tr w:rsidR="00356189" w:rsidRPr="00073924" w14:paraId="750E94C8" w14:textId="77777777" w:rsidTr="00073924">
        <w:tc>
          <w:tcPr>
            <w:tcW w:w="5490" w:type="dxa"/>
            <w:gridSpan w:val="2"/>
            <w:shd w:val="clear" w:color="auto" w:fill="auto"/>
            <w:noWrap/>
            <w:vAlign w:val="center"/>
          </w:tcPr>
          <w:p w14:paraId="1454F0AE" w14:textId="77777777" w:rsidR="00356189" w:rsidRPr="00073924" w:rsidRDefault="00356189" w:rsidP="00517D38">
            <w:pPr>
              <w:widowControl/>
              <w:jc w:val="right"/>
              <w:rPr>
                <w:b/>
                <w:bCs/>
                <w:color w:val="000000"/>
                <w:szCs w:val="22"/>
                <w:lang w:eastAsia="zh-CN"/>
              </w:rPr>
            </w:pPr>
            <w:r w:rsidRPr="00073924">
              <w:rPr>
                <w:b/>
                <w:bCs/>
                <w:color w:val="000000"/>
                <w:szCs w:val="22"/>
                <w:lang w:eastAsia="zh-CN"/>
              </w:rPr>
              <w:t>Total</w:t>
            </w:r>
          </w:p>
        </w:tc>
        <w:tc>
          <w:tcPr>
            <w:tcW w:w="4009" w:type="dxa"/>
            <w:gridSpan w:val="3"/>
            <w:shd w:val="clear" w:color="auto" w:fill="auto"/>
            <w:noWrap/>
            <w:vAlign w:val="center"/>
          </w:tcPr>
          <w:p w14:paraId="19A1F3B1" w14:textId="60BD5C24" w:rsidR="00356189" w:rsidRPr="00073924" w:rsidRDefault="00356189" w:rsidP="00517D38">
            <w:pPr>
              <w:widowControl/>
              <w:rPr>
                <w:b/>
                <w:bCs/>
                <w:color w:val="000000"/>
                <w:szCs w:val="22"/>
                <w:lang w:eastAsia="zh-CN"/>
              </w:rPr>
            </w:pPr>
          </w:p>
        </w:tc>
      </w:tr>
    </w:tbl>
    <w:p w14:paraId="4B6EA16F" w14:textId="77777777" w:rsidR="00356189" w:rsidRPr="00073924" w:rsidRDefault="00356189" w:rsidP="00517D38">
      <w:pPr>
        <w:pStyle w:val="Header"/>
        <w:widowControl/>
        <w:tabs>
          <w:tab w:val="clear" w:pos="4320"/>
          <w:tab w:val="clear" w:pos="8640"/>
          <w:tab w:val="left" w:pos="720"/>
          <w:tab w:val="left" w:pos="5040"/>
          <w:tab w:val="left" w:pos="5760"/>
        </w:tabs>
        <w:rPr>
          <w:bCs/>
          <w:szCs w:val="22"/>
        </w:rPr>
      </w:pPr>
    </w:p>
    <w:p w14:paraId="27EBCE67" w14:textId="1A6B00E3" w:rsidR="00356189" w:rsidRPr="00073924" w:rsidRDefault="689D096F" w:rsidP="00DA1951">
      <w:pPr>
        <w:pStyle w:val="Heading1"/>
        <w:rPr>
          <w:szCs w:val="22"/>
        </w:rPr>
      </w:pPr>
      <w:r w:rsidRPr="00073924">
        <w:rPr>
          <w:szCs w:val="22"/>
        </w:rPr>
        <w:br w:type="page"/>
      </w:r>
      <w:r w:rsidR="00F44D8C" w:rsidRPr="00073924" w:rsidDel="00F44D8C">
        <w:lastRenderedPageBreak/>
        <w:t xml:space="preserve"> </w:t>
      </w:r>
    </w:p>
    <w:p w14:paraId="1C5A0350" w14:textId="77777777" w:rsidR="00C63953" w:rsidRPr="00073924" w:rsidRDefault="00C63953" w:rsidP="00517D38">
      <w:pPr>
        <w:pStyle w:val="Heading1"/>
      </w:pPr>
      <w:r w:rsidRPr="00073924">
        <w:rPr>
          <w:szCs w:val="22"/>
          <w:bdr w:val="single" w:sz="4" w:space="0" w:color="auto"/>
        </w:rPr>
        <w:br w:type="page"/>
      </w:r>
      <w:r w:rsidRPr="00073924">
        <w:lastRenderedPageBreak/>
        <w:t>APPENDIX E(c)</w:t>
      </w:r>
      <w:r w:rsidR="00A71B84" w:rsidRPr="00073924">
        <w:t xml:space="preserve">: </w:t>
      </w:r>
      <w:r w:rsidRPr="00073924">
        <w:t>ONLINE BOOKS – Usage-Based Collection Management Option</w:t>
      </w:r>
    </w:p>
    <w:p w14:paraId="443DC8E3" w14:textId="77777777" w:rsidR="00C63953" w:rsidRPr="00073924" w:rsidRDefault="00C63953" w:rsidP="00517D38">
      <w:pPr>
        <w:rPr>
          <w:szCs w:val="22"/>
        </w:rPr>
      </w:pPr>
      <w:r w:rsidRPr="00073924">
        <w:rPr>
          <w:szCs w:val="22"/>
        </w:rPr>
        <w:t>Customer:</w:t>
      </w:r>
      <w:r w:rsidR="00705C4B" w:rsidRPr="00073924">
        <w:rPr>
          <w:szCs w:val="22"/>
        </w:rPr>
        <w:t xml:space="preserve">    </w:t>
      </w:r>
      <w:r w:rsidRPr="00073924">
        <w:rPr>
          <w:szCs w:val="22"/>
        </w:rPr>
        <w:t xml:space="preserve"> </w:t>
      </w:r>
    </w:p>
    <w:p w14:paraId="1150887B" w14:textId="77777777" w:rsidR="00C63953" w:rsidRPr="00073924" w:rsidRDefault="00C63953" w:rsidP="00517D38">
      <w:pPr>
        <w:rPr>
          <w:szCs w:val="22"/>
        </w:rPr>
      </w:pPr>
    </w:p>
    <w:p w14:paraId="59908C42" w14:textId="77777777" w:rsidR="00C63953" w:rsidRPr="00073924" w:rsidRDefault="00C63953" w:rsidP="00517D38">
      <w:pPr>
        <w:tabs>
          <w:tab w:val="left" w:pos="720"/>
          <w:tab w:val="left" w:pos="5040"/>
          <w:tab w:val="left" w:pos="5760"/>
        </w:tabs>
        <w:rPr>
          <w:szCs w:val="22"/>
        </w:rPr>
      </w:pPr>
      <w:r w:rsidRPr="00073924">
        <w:rPr>
          <w:szCs w:val="22"/>
        </w:rPr>
        <w:t>Wiley Online Library Online Books are the electronic editions of Wiley books to which the Customer has access under this Agreement.</w:t>
      </w:r>
      <w:r w:rsidR="00A71B84" w:rsidRPr="00073924">
        <w:rPr>
          <w:szCs w:val="22"/>
        </w:rPr>
        <w:t xml:space="preserve"> </w:t>
      </w:r>
      <w:r w:rsidRPr="00073924">
        <w:rPr>
          <w:szCs w:val="22"/>
        </w:rPr>
        <w:t xml:space="preserve">They may include tables of content, abstracts, full text, illustrations, data tables and additional content not included in the print versions of the books. </w:t>
      </w:r>
    </w:p>
    <w:p w14:paraId="196194F3" w14:textId="77777777" w:rsidR="00C63953" w:rsidRPr="00073924" w:rsidRDefault="00C63953" w:rsidP="00517D38">
      <w:pPr>
        <w:rPr>
          <w:szCs w:val="22"/>
        </w:rPr>
      </w:pPr>
    </w:p>
    <w:p w14:paraId="4F9BE101" w14:textId="77777777" w:rsidR="00C63953" w:rsidRPr="00073924" w:rsidRDefault="00C63953" w:rsidP="00517D38">
      <w:pPr>
        <w:pStyle w:val="ListParagraph"/>
        <w:numPr>
          <w:ilvl w:val="0"/>
          <w:numId w:val="23"/>
        </w:numPr>
        <w:spacing w:after="0" w:line="240" w:lineRule="auto"/>
        <w:rPr>
          <w:rFonts w:ascii="Times New Roman" w:hAnsi="Times New Roman"/>
        </w:rPr>
      </w:pPr>
      <w:r w:rsidRPr="00073924">
        <w:rPr>
          <w:rFonts w:ascii="Times New Roman" w:hAnsi="Times New Roman"/>
          <w:b/>
        </w:rPr>
        <w:t xml:space="preserve">The </w:t>
      </w:r>
      <w:r w:rsidRPr="00073924">
        <w:rPr>
          <w:rStyle w:val="Strong"/>
          <w:rFonts w:ascii="Times New Roman" w:hAnsi="Times New Roman"/>
          <w:u w:val="none"/>
        </w:rPr>
        <w:t>Offer</w:t>
      </w:r>
      <w:r w:rsidRPr="00073924">
        <w:rPr>
          <w:rFonts w:ascii="Times New Roman" w:hAnsi="Times New Roman"/>
          <w:b/>
        </w:rPr>
        <w:t xml:space="preserve">: </w:t>
      </w:r>
      <w:r w:rsidRPr="00073924">
        <w:rPr>
          <w:rFonts w:ascii="Times New Roman" w:hAnsi="Times New Roman"/>
        </w:rPr>
        <w:t xml:space="preserve">The Customer wishes to license Online Books. Wiley will provide access to </w:t>
      </w:r>
      <w:proofErr w:type="gramStart"/>
      <w:r w:rsidRPr="00073924">
        <w:rPr>
          <w:rFonts w:ascii="Times New Roman" w:hAnsi="Times New Roman"/>
        </w:rPr>
        <w:t>all of</w:t>
      </w:r>
      <w:proofErr w:type="gramEnd"/>
      <w:r w:rsidRPr="00073924">
        <w:rPr>
          <w:rFonts w:ascii="Times New Roman" w:hAnsi="Times New Roman"/>
        </w:rPr>
        <w:t xml:space="preserve"> the titles in the Catalog(s) selected by the Customer for an Access Period and the Customer agrees to a Total Minimum Commitment to license Online Books, to be paid at the start of the Access Period. The Customer will select and license titles from the Catalog(s) that equal or exceed the Total Minimum Commitment not later than the end of the Access Period. After the end of the Access Period, the Customer will no longer have access to Online Book titles not selected for license. </w:t>
      </w:r>
    </w:p>
    <w:p w14:paraId="2A13BC14" w14:textId="77777777" w:rsidR="00C63953" w:rsidRPr="00073924" w:rsidRDefault="00C63953" w:rsidP="00517D38">
      <w:pPr>
        <w:pStyle w:val="ListParagraph"/>
        <w:spacing w:after="0" w:line="240" w:lineRule="auto"/>
        <w:rPr>
          <w:rFonts w:ascii="Times New Roman" w:hAnsi="Times New Roman"/>
        </w:rPr>
      </w:pPr>
    </w:p>
    <w:p w14:paraId="52232780" w14:textId="77777777" w:rsidR="00C63953" w:rsidRPr="00073924" w:rsidRDefault="00C63953" w:rsidP="00517D38">
      <w:pPr>
        <w:pStyle w:val="ListParagraph"/>
        <w:numPr>
          <w:ilvl w:val="0"/>
          <w:numId w:val="23"/>
        </w:numPr>
        <w:spacing w:after="0" w:line="240" w:lineRule="auto"/>
        <w:rPr>
          <w:rFonts w:ascii="Times New Roman" w:hAnsi="Times New Roman"/>
        </w:rPr>
      </w:pPr>
      <w:r w:rsidRPr="00073924">
        <w:rPr>
          <w:rStyle w:val="Strong"/>
          <w:rFonts w:ascii="Times New Roman" w:hAnsi="Times New Roman"/>
          <w:u w:val="none"/>
        </w:rPr>
        <w:t>Catalog</w:t>
      </w:r>
      <w:r w:rsidRPr="00073924">
        <w:rPr>
          <w:rFonts w:ascii="Times New Roman" w:hAnsi="Times New Roman"/>
          <w:b/>
        </w:rPr>
        <w:t>(s</w:t>
      </w:r>
      <w:proofErr w:type="gramStart"/>
      <w:r w:rsidRPr="00073924">
        <w:rPr>
          <w:rFonts w:ascii="Times New Roman" w:hAnsi="Times New Roman"/>
          <w:b/>
        </w:rPr>
        <w:t>):</w:t>
      </w:r>
      <w:r w:rsidRPr="00073924">
        <w:rPr>
          <w:rFonts w:ascii="Times New Roman" w:hAnsi="Times New Roman"/>
        </w:rPr>
        <w:t>The</w:t>
      </w:r>
      <w:proofErr w:type="gramEnd"/>
      <w:r w:rsidRPr="00073924">
        <w:rPr>
          <w:rFonts w:ascii="Times New Roman" w:hAnsi="Times New Roman"/>
        </w:rPr>
        <w:t xml:space="preserve"> Customer has selected the following Catalog(s) for access during the Access Period. </w:t>
      </w:r>
    </w:p>
    <w:p w14:paraId="29AF4A58" w14:textId="77777777" w:rsidR="00C63953" w:rsidRPr="00073924" w:rsidRDefault="00C63953" w:rsidP="00517D38">
      <w:pPr>
        <w:pStyle w:val="ListParagraph"/>
        <w:numPr>
          <w:ilvl w:val="1"/>
          <w:numId w:val="23"/>
        </w:numPr>
        <w:spacing w:after="0" w:line="240" w:lineRule="auto"/>
        <w:rPr>
          <w:rFonts w:ascii="Times New Roman" w:hAnsi="Times New Roman"/>
        </w:rPr>
      </w:pPr>
      <w:r w:rsidRPr="00073924">
        <w:rPr>
          <w:rFonts w:ascii="Times New Roman" w:hAnsi="Times New Roman"/>
        </w:rPr>
        <w:t>The Customer will be invoiced for the Total Minimum Commitment at the commencement of the Access Period.</w:t>
      </w:r>
    </w:p>
    <w:tbl>
      <w:tblPr>
        <w:tblW w:w="848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292"/>
      </w:tblGrid>
      <w:tr w:rsidR="00A2664F" w:rsidRPr="00073924" w14:paraId="57478001" w14:textId="77777777" w:rsidTr="00285825">
        <w:tc>
          <w:tcPr>
            <w:tcW w:w="4191" w:type="dxa"/>
            <w:shd w:val="clear" w:color="auto" w:fill="auto"/>
          </w:tcPr>
          <w:p w14:paraId="28A5139E" w14:textId="77777777" w:rsidR="00A2664F" w:rsidRPr="00073924" w:rsidRDefault="00A2664F" w:rsidP="00517D38">
            <w:pPr>
              <w:rPr>
                <w:b/>
                <w:szCs w:val="22"/>
              </w:rPr>
            </w:pPr>
            <w:r w:rsidRPr="00073924">
              <w:rPr>
                <w:b/>
                <w:szCs w:val="22"/>
              </w:rPr>
              <w:t>Catalog</w:t>
            </w:r>
          </w:p>
        </w:tc>
        <w:tc>
          <w:tcPr>
            <w:tcW w:w="4292" w:type="dxa"/>
            <w:shd w:val="clear" w:color="auto" w:fill="auto"/>
          </w:tcPr>
          <w:p w14:paraId="5FEE628C" w14:textId="77777777" w:rsidR="00A2664F" w:rsidRPr="00073924" w:rsidRDefault="00A2664F" w:rsidP="00517D38">
            <w:pPr>
              <w:rPr>
                <w:b/>
                <w:szCs w:val="22"/>
              </w:rPr>
            </w:pPr>
            <w:r w:rsidRPr="00073924">
              <w:rPr>
                <w:b/>
                <w:szCs w:val="22"/>
              </w:rPr>
              <w:t>Minimum Commitment Fee</w:t>
            </w:r>
          </w:p>
        </w:tc>
      </w:tr>
      <w:tr w:rsidR="00A2664F" w:rsidRPr="00073924" w14:paraId="12320A13" w14:textId="77777777" w:rsidTr="00285825">
        <w:tc>
          <w:tcPr>
            <w:tcW w:w="4191" w:type="dxa"/>
            <w:shd w:val="clear" w:color="auto" w:fill="auto"/>
            <w:vAlign w:val="center"/>
          </w:tcPr>
          <w:p w14:paraId="31BB2B29" w14:textId="77777777" w:rsidR="00A2664F" w:rsidRPr="00073924" w:rsidRDefault="00A2664F" w:rsidP="00517D38">
            <w:pPr>
              <w:rPr>
                <w:szCs w:val="22"/>
              </w:rPr>
            </w:pPr>
          </w:p>
        </w:tc>
        <w:tc>
          <w:tcPr>
            <w:tcW w:w="4292" w:type="dxa"/>
            <w:shd w:val="clear" w:color="auto" w:fill="auto"/>
            <w:vAlign w:val="center"/>
          </w:tcPr>
          <w:p w14:paraId="74739BEF" w14:textId="77777777" w:rsidR="00A2664F" w:rsidRPr="00073924" w:rsidRDefault="00A2664F" w:rsidP="00517D38">
            <w:pPr>
              <w:rPr>
                <w:szCs w:val="22"/>
              </w:rPr>
            </w:pPr>
          </w:p>
        </w:tc>
      </w:tr>
      <w:tr w:rsidR="00A2664F" w:rsidRPr="00073924" w14:paraId="430566C7" w14:textId="77777777" w:rsidTr="00285825">
        <w:tc>
          <w:tcPr>
            <w:tcW w:w="4191" w:type="dxa"/>
            <w:shd w:val="clear" w:color="auto" w:fill="auto"/>
            <w:vAlign w:val="center"/>
          </w:tcPr>
          <w:p w14:paraId="727C6B25" w14:textId="77777777" w:rsidR="00A2664F" w:rsidRPr="00073924" w:rsidRDefault="00A2664F" w:rsidP="00517D38">
            <w:pPr>
              <w:ind w:left="720"/>
              <w:jc w:val="right"/>
              <w:rPr>
                <w:b/>
                <w:szCs w:val="22"/>
              </w:rPr>
            </w:pPr>
            <w:r w:rsidRPr="00073924">
              <w:rPr>
                <w:b/>
                <w:szCs w:val="22"/>
              </w:rPr>
              <w:t>Total</w:t>
            </w:r>
          </w:p>
        </w:tc>
        <w:tc>
          <w:tcPr>
            <w:tcW w:w="4292" w:type="dxa"/>
            <w:shd w:val="clear" w:color="auto" w:fill="auto"/>
            <w:vAlign w:val="center"/>
          </w:tcPr>
          <w:p w14:paraId="2A275C1C" w14:textId="3CFC68E2" w:rsidR="00A2664F" w:rsidRPr="00073924" w:rsidRDefault="00A2664F" w:rsidP="00517D38">
            <w:pPr>
              <w:rPr>
                <w:b/>
                <w:bCs/>
                <w:szCs w:val="22"/>
              </w:rPr>
            </w:pPr>
          </w:p>
        </w:tc>
      </w:tr>
    </w:tbl>
    <w:p w14:paraId="4144BA82" w14:textId="77777777" w:rsidR="00934E09" w:rsidRPr="00073924" w:rsidRDefault="00934E09" w:rsidP="00517D38">
      <w:pPr>
        <w:rPr>
          <w:highlight w:val="cyan"/>
        </w:rPr>
      </w:pPr>
    </w:p>
    <w:p w14:paraId="04B3DB61" w14:textId="77777777" w:rsidR="00C63953" w:rsidRPr="00073924" w:rsidRDefault="00C63953" w:rsidP="00517D38">
      <w:pPr>
        <w:pStyle w:val="ListParagraph"/>
        <w:numPr>
          <w:ilvl w:val="0"/>
          <w:numId w:val="23"/>
        </w:numPr>
        <w:spacing w:after="0" w:line="240" w:lineRule="auto"/>
        <w:rPr>
          <w:rFonts w:ascii="Times New Roman" w:hAnsi="Times New Roman"/>
          <w:b/>
        </w:rPr>
      </w:pPr>
      <w:r w:rsidRPr="00073924">
        <w:rPr>
          <w:rFonts w:ascii="Times New Roman" w:hAnsi="Times New Roman"/>
          <w:b/>
        </w:rPr>
        <w:t xml:space="preserve">Access </w:t>
      </w:r>
      <w:r w:rsidRPr="00073924">
        <w:rPr>
          <w:rStyle w:val="Strong"/>
          <w:rFonts w:ascii="Times New Roman" w:hAnsi="Times New Roman"/>
          <w:u w:val="none"/>
        </w:rPr>
        <w:t>Period</w:t>
      </w:r>
      <w:r w:rsidRPr="00073924">
        <w:rPr>
          <w:rFonts w:ascii="Times New Roman" w:hAnsi="Times New Roman"/>
          <w:b/>
        </w:rPr>
        <w:t>:</w:t>
      </w:r>
    </w:p>
    <w:p w14:paraId="02F3DD07" w14:textId="77777777" w:rsidR="00C63953" w:rsidRPr="00073924" w:rsidRDefault="00C63953" w:rsidP="00517D38">
      <w:pPr>
        <w:pStyle w:val="ListParagraph"/>
        <w:numPr>
          <w:ilvl w:val="1"/>
          <w:numId w:val="23"/>
        </w:numPr>
        <w:spacing w:after="0" w:line="240" w:lineRule="auto"/>
        <w:rPr>
          <w:rFonts w:ascii="Times New Roman" w:hAnsi="Times New Roman"/>
        </w:rPr>
      </w:pPr>
      <w:r w:rsidRPr="00073924">
        <w:rPr>
          <w:rFonts w:ascii="Times New Roman" w:hAnsi="Times New Roman"/>
          <w:b/>
          <w:bCs/>
        </w:rPr>
        <w:t>Start Date:</w:t>
      </w:r>
      <w:r w:rsidRPr="00073924">
        <w:rPr>
          <w:rFonts w:ascii="Times New Roman" w:hAnsi="Times New Roman"/>
        </w:rPr>
        <w:t xml:space="preserve"> _____</w:t>
      </w:r>
      <w:r w:rsidR="00705C4B" w:rsidRPr="00073924">
        <w:rPr>
          <w:rFonts w:ascii="Times New Roman" w:hAnsi="Times New Roman"/>
        </w:rPr>
        <w:t xml:space="preserve"> through </w:t>
      </w:r>
      <w:r w:rsidRPr="00073924">
        <w:rPr>
          <w:rFonts w:ascii="Times New Roman" w:hAnsi="Times New Roman"/>
          <w:b/>
          <w:bCs/>
        </w:rPr>
        <w:t>End Date:</w:t>
      </w:r>
      <w:r w:rsidRPr="00073924">
        <w:rPr>
          <w:rFonts w:ascii="Times New Roman" w:hAnsi="Times New Roman"/>
        </w:rPr>
        <w:t xml:space="preserve"> _____</w:t>
      </w:r>
      <w:r w:rsidR="00705C4B" w:rsidRPr="00073924">
        <w:rPr>
          <w:rFonts w:ascii="Times New Roman" w:hAnsi="Times New Roman"/>
        </w:rPr>
        <w:t>.</w:t>
      </w:r>
    </w:p>
    <w:p w14:paraId="6072FF47" w14:textId="44BDE161" w:rsidR="00C63953" w:rsidRPr="00073924" w:rsidRDefault="00C63953" w:rsidP="00517D38">
      <w:pPr>
        <w:pStyle w:val="ListParagraph"/>
        <w:numPr>
          <w:ilvl w:val="1"/>
          <w:numId w:val="23"/>
        </w:numPr>
        <w:spacing w:after="0" w:line="240" w:lineRule="auto"/>
        <w:rPr>
          <w:rFonts w:ascii="Times New Roman" w:hAnsi="Times New Roman"/>
        </w:rPr>
      </w:pPr>
      <w:r w:rsidRPr="00073924">
        <w:rPr>
          <w:rFonts w:ascii="Times New Roman" w:hAnsi="Times New Roman"/>
        </w:rPr>
        <w:t xml:space="preserve">During the Access Period, the Customer will have access to </w:t>
      </w:r>
      <w:proofErr w:type="gramStart"/>
      <w:r w:rsidRPr="00073924">
        <w:rPr>
          <w:rFonts w:ascii="Times New Roman" w:hAnsi="Times New Roman"/>
        </w:rPr>
        <w:t>all of</w:t>
      </w:r>
      <w:proofErr w:type="gramEnd"/>
      <w:r w:rsidRPr="00073924">
        <w:rPr>
          <w:rFonts w:ascii="Times New Roman" w:hAnsi="Times New Roman"/>
        </w:rPr>
        <w:t xml:space="preserve"> the titles in the selected Catalog(s) under the terms of this Agreement. During the Access Period, Wiley will provide the Customer with usage data as set forth in </w:t>
      </w:r>
      <w:r w:rsidR="00DF70BA" w:rsidRPr="00073924">
        <w:rPr>
          <w:rFonts w:ascii="Times New Roman" w:hAnsi="Times New Roman"/>
        </w:rPr>
        <w:t>Section</w:t>
      </w:r>
      <w:r w:rsidRPr="00073924">
        <w:rPr>
          <w:rFonts w:ascii="Times New Roman" w:hAnsi="Times New Roman"/>
        </w:rPr>
        <w:t xml:space="preserve"> </w:t>
      </w:r>
      <w:r w:rsidR="007B0E14" w:rsidRPr="00073924">
        <w:rPr>
          <w:rFonts w:ascii="Times New Roman" w:hAnsi="Times New Roman"/>
        </w:rPr>
        <w:t>5</w:t>
      </w:r>
      <w:r w:rsidRPr="00073924">
        <w:rPr>
          <w:rFonts w:ascii="Times New Roman" w:hAnsi="Times New Roman"/>
        </w:rPr>
        <w:t>of the Agreement via the Wiley Online Library Customer Administration service.</w:t>
      </w:r>
    </w:p>
    <w:p w14:paraId="36B8274E" w14:textId="434A0193" w:rsidR="00C63953" w:rsidRPr="00073924" w:rsidRDefault="00C63953" w:rsidP="00517D38">
      <w:pPr>
        <w:pStyle w:val="ListParagraph"/>
        <w:numPr>
          <w:ilvl w:val="1"/>
          <w:numId w:val="23"/>
        </w:numPr>
        <w:spacing w:after="0" w:line="240" w:lineRule="auto"/>
        <w:rPr>
          <w:rFonts w:ascii="Times New Roman" w:hAnsi="Times New Roman"/>
        </w:rPr>
      </w:pPr>
      <w:r w:rsidRPr="00073924">
        <w:rPr>
          <w:rFonts w:ascii="Times New Roman" w:hAnsi="Times New Roman"/>
        </w:rPr>
        <w:t xml:space="preserve">During the Access Period the Customer’s library staff will not have the right to supply copies of documents from the titles in the Catalog(s) to another library. For the avoidance of doubt, the Customer may only exercise the rights set forth </w:t>
      </w:r>
      <w:proofErr w:type="gramStart"/>
      <w:r w:rsidRPr="00073924">
        <w:rPr>
          <w:rFonts w:ascii="Times New Roman" w:hAnsi="Times New Roman"/>
        </w:rPr>
        <w:t xml:space="preserve">in </w:t>
      </w:r>
      <w:r w:rsidR="00DF70BA" w:rsidRPr="00073924">
        <w:rPr>
          <w:rFonts w:ascii="Times New Roman" w:hAnsi="Times New Roman"/>
        </w:rPr>
        <w:t xml:space="preserve"> Section</w:t>
      </w:r>
      <w:proofErr w:type="gramEnd"/>
      <w:r w:rsidRPr="00073924">
        <w:rPr>
          <w:rFonts w:ascii="Times New Roman" w:hAnsi="Times New Roman"/>
        </w:rPr>
        <w:t xml:space="preserve"> 3.1.e. of the Agreement in the Online Book titles selected and licensed at the end of the Access Period.</w:t>
      </w:r>
    </w:p>
    <w:p w14:paraId="51C8A404" w14:textId="77777777" w:rsidR="00C63953" w:rsidRPr="00073924" w:rsidRDefault="00C63953" w:rsidP="00517D38">
      <w:pPr>
        <w:pStyle w:val="ListParagraph"/>
        <w:numPr>
          <w:ilvl w:val="1"/>
          <w:numId w:val="23"/>
        </w:numPr>
        <w:spacing w:after="0" w:line="240" w:lineRule="auto"/>
        <w:rPr>
          <w:rFonts w:ascii="Times New Roman" w:hAnsi="Times New Roman"/>
        </w:rPr>
      </w:pPr>
      <w:r w:rsidRPr="00073924">
        <w:rPr>
          <w:rFonts w:ascii="Times New Roman" w:hAnsi="Times New Roman"/>
        </w:rPr>
        <w:t>The Customer will select and license titles from the Catalog(s) that equal or exceed the Total Minimum Commitment at the end of the Access Period. A final usage data report will be provided within the final 30 days of the formal Access Period with a proposed default list of titles based on patron usage and based on the Total Minimum Commitment.</w:t>
      </w:r>
    </w:p>
    <w:p w14:paraId="19490EA3" w14:textId="77777777" w:rsidR="00C63953" w:rsidRPr="00073924" w:rsidRDefault="00C63953" w:rsidP="00517D38">
      <w:pPr>
        <w:pStyle w:val="ListParagraph"/>
        <w:numPr>
          <w:ilvl w:val="1"/>
          <w:numId w:val="23"/>
        </w:numPr>
        <w:spacing w:after="0" w:line="240" w:lineRule="auto"/>
        <w:rPr>
          <w:rFonts w:ascii="Times New Roman" w:hAnsi="Times New Roman"/>
        </w:rPr>
      </w:pPr>
      <w:r w:rsidRPr="00073924">
        <w:rPr>
          <w:rFonts w:ascii="Times New Roman" w:hAnsi="Times New Roman"/>
        </w:rPr>
        <w:t>If Customer does not provide any alternate selection of titles by 60 days after the conclusion of the Access Period, the default usage-based selection list provided to Customer shall become final.</w:t>
      </w:r>
      <w:r w:rsidR="00A71B84" w:rsidRPr="00073924">
        <w:rPr>
          <w:rFonts w:ascii="Times New Roman" w:hAnsi="Times New Roman"/>
        </w:rPr>
        <w:t xml:space="preserve"> </w:t>
      </w:r>
    </w:p>
    <w:p w14:paraId="22C34D3F" w14:textId="77777777" w:rsidR="00C63953" w:rsidRPr="00073924" w:rsidRDefault="00C63953" w:rsidP="00517D38">
      <w:pPr>
        <w:rPr>
          <w:szCs w:val="22"/>
        </w:rPr>
      </w:pPr>
    </w:p>
    <w:p w14:paraId="39772F0C" w14:textId="77777777" w:rsidR="00C63953" w:rsidRPr="00073924" w:rsidRDefault="00C63953" w:rsidP="00517D38">
      <w:pPr>
        <w:pStyle w:val="ListParagraph"/>
        <w:numPr>
          <w:ilvl w:val="0"/>
          <w:numId w:val="23"/>
        </w:numPr>
        <w:spacing w:after="0" w:line="240" w:lineRule="auto"/>
        <w:rPr>
          <w:rFonts w:ascii="Times New Roman" w:hAnsi="Times New Roman"/>
        </w:rPr>
      </w:pPr>
      <w:r w:rsidRPr="00073924">
        <w:rPr>
          <w:rFonts w:ascii="Times New Roman" w:hAnsi="Times New Roman"/>
          <w:b/>
        </w:rPr>
        <w:t xml:space="preserve">Perpetual </w:t>
      </w:r>
      <w:r w:rsidRPr="00073924">
        <w:rPr>
          <w:rStyle w:val="Strong"/>
          <w:rFonts w:ascii="Times New Roman" w:hAnsi="Times New Roman"/>
          <w:u w:val="none"/>
        </w:rPr>
        <w:t>Access</w:t>
      </w:r>
      <w:r w:rsidRPr="00073924">
        <w:rPr>
          <w:rFonts w:ascii="Times New Roman" w:hAnsi="Times New Roman"/>
        </w:rPr>
        <w:t>:</w:t>
      </w:r>
      <w:r w:rsidR="00A71B84" w:rsidRPr="00073924">
        <w:rPr>
          <w:rFonts w:ascii="Times New Roman" w:hAnsi="Times New Roman"/>
        </w:rPr>
        <w:t xml:space="preserve"> </w:t>
      </w:r>
      <w:r w:rsidRPr="00073924">
        <w:rPr>
          <w:rFonts w:ascii="Times New Roman" w:hAnsi="Times New Roman"/>
        </w:rPr>
        <w:t xml:space="preserve">At the end of the Access Period, Wiley will provide the Customer with perpetual access to the full text of the Online Book titles selected and licensed. </w:t>
      </w:r>
    </w:p>
    <w:p w14:paraId="2C54ABF0" w14:textId="77777777" w:rsidR="00B01EE5" w:rsidRPr="00073924" w:rsidRDefault="00B01EE5" w:rsidP="00517D38"/>
    <w:p w14:paraId="4754E217" w14:textId="77777777" w:rsidR="00C63953" w:rsidRPr="00073924" w:rsidRDefault="00C63953" w:rsidP="00517D38">
      <w:pPr>
        <w:pStyle w:val="ListParagraph"/>
        <w:numPr>
          <w:ilvl w:val="0"/>
          <w:numId w:val="23"/>
        </w:numPr>
        <w:tabs>
          <w:tab w:val="left" w:pos="5040"/>
          <w:tab w:val="left" w:pos="5760"/>
        </w:tabs>
        <w:spacing w:after="0" w:line="240" w:lineRule="auto"/>
        <w:rPr>
          <w:rFonts w:ascii="Times New Roman" w:hAnsi="Times New Roman"/>
        </w:rPr>
      </w:pPr>
      <w:r w:rsidRPr="00073924">
        <w:rPr>
          <w:rStyle w:val="Strong"/>
          <w:rFonts w:ascii="Times New Roman" w:hAnsi="Times New Roman"/>
          <w:u w:val="none"/>
        </w:rPr>
        <w:t>Fees</w:t>
      </w:r>
      <w:r w:rsidRPr="00073924">
        <w:rPr>
          <w:rFonts w:ascii="Times New Roman" w:hAnsi="Times New Roman"/>
          <w:b/>
        </w:rPr>
        <w:t xml:space="preserve">: </w:t>
      </w:r>
      <w:r w:rsidRPr="00073924">
        <w:rPr>
          <w:rFonts w:ascii="Times New Roman" w:hAnsi="Times New Roman"/>
        </w:rPr>
        <w:t xml:space="preserve">Online Books One-Time license Fees will be calculated based on the current US list </w:t>
      </w:r>
      <w:r w:rsidR="00517D38" w:rsidRPr="00073924">
        <w:rPr>
          <w:rFonts w:ascii="Times New Roman" w:hAnsi="Times New Roman"/>
        </w:rPr>
        <w:t>fee</w:t>
      </w:r>
      <w:r w:rsidRPr="00073924">
        <w:rPr>
          <w:rFonts w:ascii="Times New Roman" w:hAnsi="Times New Roman"/>
        </w:rPr>
        <w:t xml:space="preserve"> at the time of selection</w:t>
      </w:r>
      <w:r w:rsidR="0082203F" w:rsidRPr="00073924">
        <w:rPr>
          <w:rFonts w:ascii="Times New Roman" w:hAnsi="Times New Roman"/>
        </w:rPr>
        <w:t>,</w:t>
      </w:r>
      <w:r w:rsidR="00A71B84" w:rsidRPr="00073924">
        <w:rPr>
          <w:rFonts w:ascii="Times New Roman" w:hAnsi="Times New Roman"/>
        </w:rPr>
        <w:t xml:space="preserve"> </w:t>
      </w:r>
      <w:r w:rsidR="0082203F" w:rsidRPr="00073924">
        <w:rPr>
          <w:rFonts w:ascii="Times New Roman" w:hAnsi="Times New Roman"/>
        </w:rPr>
        <w:t xml:space="preserve">and a multiplier based on the Customer’s FTE </w:t>
      </w:r>
      <w:r w:rsidRPr="00073924">
        <w:rPr>
          <w:rFonts w:ascii="Times New Roman" w:hAnsi="Times New Roman"/>
        </w:rPr>
        <w:t>(end of the Access Period).</w:t>
      </w:r>
      <w:r w:rsidR="00A71B84" w:rsidRPr="00073924">
        <w:rPr>
          <w:rFonts w:ascii="Times New Roman" w:hAnsi="Times New Roman"/>
        </w:rPr>
        <w:t xml:space="preserve"> </w:t>
      </w:r>
      <w:r w:rsidRPr="00073924">
        <w:rPr>
          <w:rFonts w:ascii="Times New Roman" w:hAnsi="Times New Roman"/>
        </w:rPr>
        <w:t>The Customer must license titles equal or greater in aggregate value to the Total Minimum Commitment.</w:t>
      </w:r>
      <w:r w:rsidR="00A71B84" w:rsidRPr="00073924">
        <w:rPr>
          <w:rFonts w:ascii="Times New Roman" w:hAnsi="Times New Roman"/>
        </w:rPr>
        <w:t xml:space="preserve"> </w:t>
      </w:r>
      <w:r w:rsidRPr="00073924">
        <w:rPr>
          <w:rFonts w:ascii="Times New Roman" w:hAnsi="Times New Roman"/>
        </w:rPr>
        <w:t>If the aggregate fee for titles licensed is greater than the Total Minimum Commitment Fee already paid to Wiley, Wiley will invoice the Customer for the additional fee(s).</w:t>
      </w:r>
      <w:r w:rsidR="00A71B84" w:rsidRPr="00073924">
        <w:rPr>
          <w:rFonts w:ascii="Times New Roman" w:hAnsi="Times New Roman"/>
        </w:rPr>
        <w:t xml:space="preserve"> </w:t>
      </w:r>
    </w:p>
    <w:p w14:paraId="25CA3DB5" w14:textId="77777777" w:rsidR="00C63953" w:rsidRPr="00073924" w:rsidRDefault="00C63953" w:rsidP="00517D38">
      <w:pPr>
        <w:tabs>
          <w:tab w:val="left" w:pos="720"/>
          <w:tab w:val="left" w:pos="5040"/>
          <w:tab w:val="left" w:pos="5760"/>
        </w:tabs>
        <w:rPr>
          <w:szCs w:val="22"/>
        </w:rPr>
      </w:pPr>
    </w:p>
    <w:p w14:paraId="5AAE1E05" w14:textId="5FD532AC" w:rsidR="00C63953" w:rsidRDefault="00C63953" w:rsidP="00517D38">
      <w:pPr>
        <w:pStyle w:val="ListParagraph"/>
        <w:numPr>
          <w:ilvl w:val="0"/>
          <w:numId w:val="23"/>
        </w:numPr>
        <w:tabs>
          <w:tab w:val="left" w:pos="5040"/>
          <w:tab w:val="left" w:pos="5760"/>
        </w:tabs>
        <w:spacing w:after="0" w:line="240" w:lineRule="auto"/>
        <w:rPr>
          <w:rFonts w:ascii="Times New Roman" w:hAnsi="Times New Roman"/>
        </w:rPr>
      </w:pPr>
      <w:r w:rsidRPr="00073924">
        <w:rPr>
          <w:rFonts w:ascii="Times New Roman" w:hAnsi="Times New Roman"/>
        </w:rPr>
        <w:t xml:space="preserve">Titles included in this license will be listed with </w:t>
      </w:r>
      <w:r w:rsidR="00517D38" w:rsidRPr="00073924">
        <w:rPr>
          <w:rFonts w:ascii="Times New Roman" w:hAnsi="Times New Roman"/>
        </w:rPr>
        <w:t>fee</w:t>
      </w:r>
      <w:r w:rsidRPr="00073924">
        <w:rPr>
          <w:rFonts w:ascii="Times New Roman" w:hAnsi="Times New Roman"/>
        </w:rPr>
        <w:t>s in Appendix E(c)1, to be added at the conclusion of the Access Period.</w:t>
      </w:r>
      <w:r w:rsidR="00A71B84" w:rsidRPr="00073924">
        <w:rPr>
          <w:rFonts w:ascii="Times New Roman" w:hAnsi="Times New Roman"/>
        </w:rPr>
        <w:t xml:space="preserve"> </w:t>
      </w:r>
      <w:r w:rsidRPr="00073924">
        <w:rPr>
          <w:rFonts w:ascii="Times New Roman" w:hAnsi="Times New Roman"/>
        </w:rPr>
        <w:t xml:space="preserve">Titles may be subsequently added in any amounts by contacting the appropriate Account Manager. Any titles licensed </w:t>
      </w:r>
      <w:proofErr w:type="gramStart"/>
      <w:r w:rsidRPr="00073924">
        <w:rPr>
          <w:rFonts w:ascii="Times New Roman" w:hAnsi="Times New Roman"/>
        </w:rPr>
        <w:t>subsequent to</w:t>
      </w:r>
      <w:proofErr w:type="gramEnd"/>
      <w:r w:rsidRPr="00073924">
        <w:rPr>
          <w:rFonts w:ascii="Times New Roman" w:hAnsi="Times New Roman"/>
        </w:rPr>
        <w:t xml:space="preserve"> this may be added under the terms of this Appendix and their use will be governed by the terms of this Agreement. No additional license documentation is required.</w:t>
      </w:r>
    </w:p>
    <w:p w14:paraId="1105ECF2" w14:textId="056BA259" w:rsidR="00F27D52" w:rsidRDefault="00F27D52" w:rsidP="00F27D52">
      <w:pPr>
        <w:pStyle w:val="ListParagraph"/>
        <w:tabs>
          <w:tab w:val="left" w:pos="5040"/>
          <w:tab w:val="left" w:pos="5760"/>
        </w:tabs>
        <w:spacing w:after="0" w:line="240" w:lineRule="auto"/>
        <w:rPr>
          <w:rFonts w:ascii="Times New Roman" w:hAnsi="Times New Roman"/>
        </w:rPr>
      </w:pPr>
    </w:p>
    <w:p w14:paraId="0D3FDC2B" w14:textId="220FAF37" w:rsidR="00F27D52" w:rsidRPr="00073924" w:rsidRDefault="00F27D52" w:rsidP="00DA1951">
      <w:pPr>
        <w:pStyle w:val="ListParagraph"/>
        <w:tabs>
          <w:tab w:val="left" w:pos="5040"/>
          <w:tab w:val="left" w:pos="5760"/>
        </w:tabs>
        <w:spacing w:after="0" w:line="240" w:lineRule="auto"/>
        <w:rPr>
          <w:rFonts w:ascii="Times New Roman" w:hAnsi="Times New Roman"/>
        </w:rPr>
      </w:pPr>
      <w:r w:rsidRPr="00F27D52">
        <w:rPr>
          <w:rFonts w:ascii="Times New Roman" w:hAnsi="Times New Roman"/>
        </w:rPr>
        <w:t xml:space="preserve">For this purpose, FTEs are </w:t>
      </w:r>
      <w:r w:rsidR="00FF1629">
        <w:rPr>
          <w:rFonts w:ascii="Times New Roman" w:hAnsi="Times New Roman"/>
        </w:rPr>
        <w:t xml:space="preserve">students and </w:t>
      </w:r>
      <w:r w:rsidR="00285C4A">
        <w:rPr>
          <w:rFonts w:ascii="Times New Roman" w:hAnsi="Times New Roman"/>
        </w:rPr>
        <w:t xml:space="preserve">faculty members </w:t>
      </w:r>
      <w:r w:rsidR="00267ECE" w:rsidRPr="00267ECE">
        <w:rPr>
          <w:rFonts w:ascii="Times New Roman" w:hAnsi="Times New Roman"/>
        </w:rPr>
        <w:t xml:space="preserve">defined </w:t>
      </w:r>
      <w:r w:rsidRPr="00F27D52">
        <w:rPr>
          <w:rFonts w:ascii="Times New Roman" w:hAnsi="Times New Roman"/>
        </w:rPr>
        <w:t>as full-time equivalents</w:t>
      </w:r>
      <w:r w:rsidR="00285C4A">
        <w:rPr>
          <w:rFonts w:ascii="Times New Roman" w:hAnsi="Times New Roman"/>
        </w:rPr>
        <w:t xml:space="preserve">. </w:t>
      </w:r>
    </w:p>
    <w:p w14:paraId="1343D21F" w14:textId="3720CCA2" w:rsidR="00B87D91" w:rsidRPr="00073924" w:rsidRDefault="59F5AD4D" w:rsidP="00353BE6">
      <w:pPr>
        <w:pStyle w:val="Heading1"/>
      </w:pPr>
      <w:r w:rsidRPr="00073924">
        <w:rPr>
          <w:szCs w:val="22"/>
        </w:rPr>
        <w:br w:type="page"/>
      </w:r>
      <w:r w:rsidR="00353BE6" w:rsidRPr="00073924" w:rsidDel="00353BE6">
        <w:lastRenderedPageBreak/>
        <w:t xml:space="preserve"> </w:t>
      </w:r>
      <w:r w:rsidR="00B87D91" w:rsidRPr="00073924">
        <w:t xml:space="preserve">APPENDIX </w:t>
      </w:r>
      <w:r w:rsidR="00357D7D" w:rsidRPr="00073924">
        <w:t>F</w:t>
      </w:r>
      <w:r w:rsidR="00A71B84" w:rsidRPr="00073924">
        <w:t>:</w:t>
      </w:r>
      <w:r w:rsidR="00B87D91" w:rsidRPr="00073924">
        <w:t xml:space="preserve"> </w:t>
      </w:r>
      <w:r w:rsidR="007834F5" w:rsidRPr="00073924">
        <w:t xml:space="preserve">THE </w:t>
      </w:r>
      <w:r w:rsidR="00B87D91" w:rsidRPr="00073924">
        <w:t>COCHRANE LIBRARY</w:t>
      </w:r>
      <w:r w:rsidR="004A717C" w:rsidRPr="00073924">
        <w:t xml:space="preserve"> – Annual Subscription</w:t>
      </w:r>
    </w:p>
    <w:p w14:paraId="2BE09BB2" w14:textId="77777777" w:rsidR="00555289" w:rsidRPr="00073924" w:rsidRDefault="0078399B" w:rsidP="00517D38">
      <w:pPr>
        <w:rPr>
          <w:szCs w:val="22"/>
        </w:rPr>
      </w:pPr>
      <w:r w:rsidRPr="00073924">
        <w:rPr>
          <w:szCs w:val="22"/>
        </w:rPr>
        <w:t>Customer:</w:t>
      </w:r>
      <w:r w:rsidR="00A02D98" w:rsidRPr="00073924">
        <w:rPr>
          <w:szCs w:val="22"/>
        </w:rPr>
        <w:t xml:space="preserve"> </w:t>
      </w:r>
    </w:p>
    <w:p w14:paraId="62C1CA7D" w14:textId="77777777" w:rsidR="00B87D91" w:rsidRPr="00073924" w:rsidRDefault="00B87D91" w:rsidP="00517D38">
      <w:pPr>
        <w:rPr>
          <w:szCs w:val="22"/>
        </w:rPr>
      </w:pPr>
    </w:p>
    <w:p w14:paraId="3F81FA8C" w14:textId="77777777" w:rsidR="00B87D91" w:rsidRPr="00073924" w:rsidRDefault="00B87D91" w:rsidP="00517D38">
      <w:pPr>
        <w:tabs>
          <w:tab w:val="left" w:pos="5040"/>
          <w:tab w:val="left" w:pos="5760"/>
        </w:tabs>
        <w:rPr>
          <w:szCs w:val="22"/>
        </w:rPr>
      </w:pPr>
      <w:r w:rsidRPr="00073924">
        <w:rPr>
          <w:szCs w:val="22"/>
        </w:rPr>
        <w:t xml:space="preserve">The Cochrane Library is an electronic product to which the </w:t>
      </w:r>
      <w:r w:rsidR="009977FF" w:rsidRPr="00073924">
        <w:rPr>
          <w:szCs w:val="22"/>
        </w:rPr>
        <w:t>Customer</w:t>
      </w:r>
      <w:r w:rsidRPr="00073924">
        <w:rPr>
          <w:szCs w:val="22"/>
        </w:rPr>
        <w:t xml:space="preserve"> has access under this </w:t>
      </w:r>
      <w:r w:rsidR="009977FF" w:rsidRPr="00073924">
        <w:rPr>
          <w:szCs w:val="22"/>
        </w:rPr>
        <w:t>Agreement</w:t>
      </w:r>
      <w:r w:rsidRPr="00073924">
        <w:rPr>
          <w:szCs w:val="22"/>
        </w:rPr>
        <w:t>.</w:t>
      </w:r>
      <w:r w:rsidR="00A7424A" w:rsidRPr="00073924">
        <w:rPr>
          <w:szCs w:val="22"/>
        </w:rPr>
        <w:t xml:space="preserve"> </w:t>
      </w:r>
      <w:r w:rsidRPr="00073924">
        <w:rPr>
          <w:szCs w:val="22"/>
        </w:rPr>
        <w:t xml:space="preserve">It includes tables of content, abstracts, full text, illustrations, data tables, search and retrieval tools, </w:t>
      </w:r>
      <w:proofErr w:type="gramStart"/>
      <w:r w:rsidRPr="00073924">
        <w:rPr>
          <w:szCs w:val="22"/>
        </w:rPr>
        <w:t>software</w:t>
      </w:r>
      <w:proofErr w:type="gramEnd"/>
      <w:r w:rsidRPr="00073924">
        <w:rPr>
          <w:szCs w:val="22"/>
        </w:rPr>
        <w:t xml:space="preserve"> and other functionality.</w:t>
      </w:r>
      <w:r w:rsidR="00A7424A" w:rsidRPr="00073924">
        <w:rPr>
          <w:szCs w:val="22"/>
        </w:rPr>
        <w:t xml:space="preserve"> </w:t>
      </w:r>
      <w:r w:rsidRPr="00073924">
        <w:rPr>
          <w:szCs w:val="22"/>
        </w:rPr>
        <w:t>The Cochrane Library will be updated regularly.</w:t>
      </w:r>
    </w:p>
    <w:p w14:paraId="78759E3A" w14:textId="77777777" w:rsidR="00B87D91" w:rsidRPr="00073924" w:rsidRDefault="00B87D91" w:rsidP="00517D38">
      <w:pPr>
        <w:tabs>
          <w:tab w:val="left" w:pos="720"/>
          <w:tab w:val="left" w:pos="5040"/>
          <w:tab w:val="left" w:pos="5760"/>
        </w:tabs>
        <w:rPr>
          <w:szCs w:val="22"/>
        </w:rPr>
      </w:pPr>
    </w:p>
    <w:p w14:paraId="53442150" w14:textId="77777777" w:rsidR="00D45D6F" w:rsidRPr="00073924" w:rsidRDefault="00E9629F" w:rsidP="00517D38">
      <w:pPr>
        <w:pStyle w:val="ListParagraph"/>
        <w:numPr>
          <w:ilvl w:val="0"/>
          <w:numId w:val="20"/>
        </w:numPr>
        <w:tabs>
          <w:tab w:val="left" w:pos="5040"/>
          <w:tab w:val="left" w:pos="5760"/>
        </w:tabs>
        <w:spacing w:after="0" w:line="240" w:lineRule="auto"/>
        <w:rPr>
          <w:rFonts w:ascii="Times New Roman" w:hAnsi="Times New Roman"/>
        </w:rPr>
      </w:pPr>
      <w:r w:rsidRPr="00073924">
        <w:rPr>
          <w:rFonts w:ascii="Times New Roman" w:hAnsi="Times New Roman"/>
          <w:b/>
          <w:bCs/>
        </w:rPr>
        <w:t xml:space="preserve">Access: </w:t>
      </w:r>
      <w:r w:rsidR="00B87D91" w:rsidRPr="00073924">
        <w:rPr>
          <w:rFonts w:ascii="Times New Roman" w:hAnsi="Times New Roman"/>
        </w:rPr>
        <w:t xml:space="preserve">An Annual Subscription will give the </w:t>
      </w:r>
      <w:r w:rsidR="009977FF" w:rsidRPr="00073924">
        <w:rPr>
          <w:rFonts w:ascii="Times New Roman" w:hAnsi="Times New Roman"/>
        </w:rPr>
        <w:t>Customer</w:t>
      </w:r>
      <w:r w:rsidR="00B87D91" w:rsidRPr="00073924">
        <w:rPr>
          <w:rFonts w:ascii="Times New Roman" w:hAnsi="Times New Roman"/>
        </w:rPr>
        <w:t xml:space="preserve"> access to </w:t>
      </w:r>
      <w:r w:rsidR="007834F5" w:rsidRPr="00073924">
        <w:rPr>
          <w:rFonts w:ascii="Times New Roman" w:hAnsi="Times New Roman"/>
        </w:rPr>
        <w:t>The Cochrane Library</w:t>
      </w:r>
      <w:r w:rsidR="00B87D91" w:rsidRPr="00073924">
        <w:rPr>
          <w:rFonts w:ascii="Times New Roman" w:hAnsi="Times New Roman"/>
        </w:rPr>
        <w:t xml:space="preserve"> Edition that is available at the time </w:t>
      </w:r>
      <w:r w:rsidR="00FD55D0" w:rsidRPr="00073924">
        <w:rPr>
          <w:rFonts w:ascii="Times New Roman" w:hAnsi="Times New Roman"/>
        </w:rPr>
        <w:t xml:space="preserve">this Agreement begins </w:t>
      </w:r>
      <w:r w:rsidR="00B87D91" w:rsidRPr="00073924">
        <w:rPr>
          <w:rFonts w:ascii="Times New Roman" w:hAnsi="Times New Roman"/>
        </w:rPr>
        <w:t>for twelve months, plus any content added or updated during the Term of the subscription.</w:t>
      </w:r>
      <w:r w:rsidR="00A7424A" w:rsidRPr="00073924">
        <w:rPr>
          <w:rFonts w:ascii="Times New Roman" w:hAnsi="Times New Roman"/>
        </w:rPr>
        <w:t xml:space="preserve"> </w:t>
      </w:r>
    </w:p>
    <w:p w14:paraId="77BED8D8" w14:textId="77777777" w:rsidR="00B5223F" w:rsidRPr="00073924" w:rsidRDefault="00B5223F" w:rsidP="00517D38">
      <w:pPr>
        <w:pStyle w:val="ProductAppendecisLevel4"/>
        <w:numPr>
          <w:ilvl w:val="1"/>
          <w:numId w:val="20"/>
        </w:numPr>
        <w:rPr>
          <w:rFonts w:cs="Times New Roman"/>
          <w:lang w:val="en-US"/>
        </w:rPr>
      </w:pPr>
      <w:r w:rsidRPr="00073924">
        <w:rPr>
          <w:rFonts w:cs="Times New Roman"/>
          <w:lang w:val="en-US"/>
        </w:rPr>
        <w:t xml:space="preserve">The Customer must continue to subscribe each year </w:t>
      </w:r>
      <w:proofErr w:type="gramStart"/>
      <w:r w:rsidRPr="00073924">
        <w:rPr>
          <w:rFonts w:cs="Times New Roman"/>
          <w:lang w:val="en-US"/>
        </w:rPr>
        <w:t>in order to</w:t>
      </w:r>
      <w:proofErr w:type="gramEnd"/>
      <w:r w:rsidRPr="00073924">
        <w:rPr>
          <w:rFonts w:cs="Times New Roman"/>
          <w:lang w:val="en-US"/>
        </w:rPr>
        <w:t xml:space="preserve"> retain access. </w:t>
      </w:r>
    </w:p>
    <w:p w14:paraId="6F91CE0D" w14:textId="77777777" w:rsidR="00B5223F" w:rsidRPr="00073924" w:rsidRDefault="00B5223F" w:rsidP="00517D38">
      <w:pPr>
        <w:pStyle w:val="ProductAppendecisLevel4"/>
        <w:numPr>
          <w:ilvl w:val="1"/>
          <w:numId w:val="20"/>
        </w:numPr>
        <w:rPr>
          <w:rFonts w:cs="Times New Roman"/>
          <w:lang w:val="en-US"/>
        </w:rPr>
      </w:pPr>
      <w:r w:rsidRPr="00073924">
        <w:rPr>
          <w:rFonts w:cs="Times New Roman"/>
          <w:lang w:val="en-US"/>
        </w:rPr>
        <w:t>Wiley currently provides access to The Cochrane Library via the following URL: https://www.cochranelibrary.com. Wiley may change the URL at its sole discretion.</w:t>
      </w:r>
    </w:p>
    <w:p w14:paraId="479AC507" w14:textId="77777777" w:rsidR="00B5223F" w:rsidRPr="00073924" w:rsidRDefault="00B5223F" w:rsidP="00517D38"/>
    <w:p w14:paraId="17858492" w14:textId="77777777" w:rsidR="00B5223F" w:rsidRPr="00073924" w:rsidRDefault="00B5223F" w:rsidP="00517D38">
      <w:pPr>
        <w:pStyle w:val="ListParagraph"/>
        <w:numPr>
          <w:ilvl w:val="0"/>
          <w:numId w:val="20"/>
        </w:numPr>
        <w:tabs>
          <w:tab w:val="left" w:pos="5040"/>
          <w:tab w:val="left" w:pos="5760"/>
        </w:tabs>
        <w:spacing w:after="0" w:line="240" w:lineRule="auto"/>
        <w:rPr>
          <w:rFonts w:ascii="Times New Roman" w:hAnsi="Times New Roman"/>
        </w:rPr>
      </w:pPr>
      <w:r w:rsidRPr="00073924">
        <w:rPr>
          <w:rFonts w:ascii="Times New Roman" w:hAnsi="Times New Roman"/>
          <w:b/>
        </w:rPr>
        <w:t xml:space="preserve">Fees: </w:t>
      </w:r>
      <w:r w:rsidRPr="00073924">
        <w:rPr>
          <w:rFonts w:ascii="Times New Roman" w:hAnsi="Times New Roman"/>
        </w:rPr>
        <w:t xml:space="preserve">The Cochrane Library Fees may be calculated based on the Customer’s number of </w:t>
      </w:r>
      <w:proofErr w:type="gramStart"/>
      <w:r w:rsidRPr="00073924">
        <w:rPr>
          <w:rFonts w:ascii="Times New Roman" w:hAnsi="Times New Roman"/>
        </w:rPr>
        <w:t>FTEs..</w:t>
      </w:r>
      <w:proofErr w:type="gramEnd"/>
      <w:r w:rsidRPr="00073924">
        <w:rPr>
          <w:rFonts w:ascii="Times New Roman" w:hAnsi="Times New Roman"/>
        </w:rPr>
        <w:t xml:space="preserve"> </w:t>
      </w:r>
    </w:p>
    <w:p w14:paraId="783BA582" w14:textId="77777777" w:rsidR="00B5223F" w:rsidRPr="00073924" w:rsidRDefault="00B5223F" w:rsidP="00517D38">
      <w:pPr>
        <w:pStyle w:val="ListParagraph"/>
        <w:keepNext/>
        <w:keepLines/>
        <w:numPr>
          <w:ilvl w:val="1"/>
          <w:numId w:val="20"/>
        </w:numPr>
        <w:spacing w:after="0" w:line="240" w:lineRule="auto"/>
        <w:rPr>
          <w:rFonts w:ascii="Times New Roman" w:hAnsi="Times New Roman"/>
        </w:rPr>
      </w:pPr>
      <w:r w:rsidRPr="00073924">
        <w:rPr>
          <w:rFonts w:ascii="Times New Roman" w:hAnsi="Times New Roman"/>
          <w:b/>
        </w:rPr>
        <w:t>Fee Increase Cap: ___%.</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3"/>
        <w:gridCol w:w="2317"/>
      </w:tblGrid>
      <w:tr w:rsidR="00B5223F" w:rsidRPr="00073924" w14:paraId="632A2485" w14:textId="77777777" w:rsidTr="00073924">
        <w:trPr>
          <w:cantSplit/>
          <w:trHeight w:val="280"/>
        </w:trPr>
        <w:tc>
          <w:tcPr>
            <w:tcW w:w="7043" w:type="dxa"/>
          </w:tcPr>
          <w:p w14:paraId="23496F94" w14:textId="77777777" w:rsidR="00B5223F" w:rsidRPr="00073924" w:rsidRDefault="00B5223F" w:rsidP="00517D38">
            <w:pPr>
              <w:rPr>
                <w:b/>
                <w:bCs/>
              </w:rPr>
            </w:pPr>
            <w:r w:rsidRPr="00073924">
              <w:rPr>
                <w:b/>
                <w:bCs/>
              </w:rPr>
              <w:t>The Cochrane Library</w:t>
            </w:r>
          </w:p>
        </w:tc>
        <w:tc>
          <w:tcPr>
            <w:tcW w:w="2317" w:type="dxa"/>
          </w:tcPr>
          <w:p w14:paraId="534A4446" w14:textId="77777777" w:rsidR="00B5223F" w:rsidRPr="00073924" w:rsidRDefault="00B5223F" w:rsidP="00517D38">
            <w:pPr>
              <w:rPr>
                <w:b/>
                <w:bCs/>
              </w:rPr>
            </w:pPr>
            <w:r w:rsidRPr="00073924">
              <w:rPr>
                <w:b/>
                <w:bCs/>
              </w:rPr>
              <w:t>Fee</w:t>
            </w:r>
          </w:p>
        </w:tc>
      </w:tr>
      <w:tr w:rsidR="00B5223F" w:rsidRPr="00073924" w14:paraId="7C21F047" w14:textId="77777777" w:rsidTr="00073924">
        <w:trPr>
          <w:cantSplit/>
          <w:trHeight w:val="280"/>
        </w:trPr>
        <w:tc>
          <w:tcPr>
            <w:tcW w:w="7043" w:type="dxa"/>
          </w:tcPr>
          <w:p w14:paraId="62C7DC27" w14:textId="77777777" w:rsidR="00B5223F" w:rsidRPr="00073924" w:rsidRDefault="00B5223F" w:rsidP="00517D38">
            <w:pPr>
              <w:rPr>
                <w:bCs/>
              </w:rPr>
            </w:pPr>
            <w:r w:rsidRPr="00073924">
              <w:rPr>
                <w:bCs/>
              </w:rPr>
              <w:t>Cochrane Database of Systematic Reviews (CDSR; Cochrane Systematic Reviews)</w:t>
            </w:r>
          </w:p>
        </w:tc>
        <w:tc>
          <w:tcPr>
            <w:tcW w:w="2317" w:type="dxa"/>
            <w:vMerge w:val="restart"/>
          </w:tcPr>
          <w:p w14:paraId="2855BC34" w14:textId="77777777" w:rsidR="00B5223F" w:rsidRPr="00073924" w:rsidRDefault="00B5223F" w:rsidP="00517D38">
            <w:pPr>
              <w:rPr>
                <w:bCs/>
              </w:rPr>
            </w:pPr>
          </w:p>
        </w:tc>
      </w:tr>
      <w:tr w:rsidR="00B5223F" w:rsidRPr="00073924" w14:paraId="61402609" w14:textId="77777777" w:rsidTr="00073924">
        <w:trPr>
          <w:trHeight w:val="280"/>
        </w:trPr>
        <w:tc>
          <w:tcPr>
            <w:tcW w:w="7043" w:type="dxa"/>
          </w:tcPr>
          <w:p w14:paraId="3D0BC862" w14:textId="77777777" w:rsidR="00B5223F" w:rsidRPr="00073924" w:rsidRDefault="00B5223F" w:rsidP="00517D38">
            <w:pPr>
              <w:rPr>
                <w:bCs/>
              </w:rPr>
            </w:pPr>
            <w:r w:rsidRPr="00073924">
              <w:rPr>
                <w:bCs/>
              </w:rPr>
              <w:t>Cochrane Central Register of Controlled Trials (CENTRAL; Clinical Trials)</w:t>
            </w:r>
          </w:p>
        </w:tc>
        <w:tc>
          <w:tcPr>
            <w:tcW w:w="2317" w:type="dxa"/>
            <w:vMerge/>
          </w:tcPr>
          <w:p w14:paraId="0813235C" w14:textId="77777777" w:rsidR="00B5223F" w:rsidRPr="00073924" w:rsidRDefault="00B5223F" w:rsidP="00517D38">
            <w:pPr>
              <w:rPr>
                <w:bCs/>
              </w:rPr>
            </w:pPr>
          </w:p>
        </w:tc>
      </w:tr>
      <w:tr w:rsidR="00B5223F" w:rsidRPr="00073924" w14:paraId="1165F995" w14:textId="77777777" w:rsidTr="00073924">
        <w:trPr>
          <w:trHeight w:val="280"/>
        </w:trPr>
        <w:tc>
          <w:tcPr>
            <w:tcW w:w="7043" w:type="dxa"/>
          </w:tcPr>
          <w:p w14:paraId="75000826" w14:textId="77777777" w:rsidR="00B5223F" w:rsidRPr="00073924" w:rsidRDefault="00B5223F" w:rsidP="00517D38">
            <w:pPr>
              <w:rPr>
                <w:bCs/>
              </w:rPr>
            </w:pPr>
            <w:r w:rsidRPr="00073924">
              <w:rPr>
                <w:bCs/>
              </w:rPr>
              <w:t>Cochrane Clinical Answers (CCA)</w:t>
            </w:r>
          </w:p>
        </w:tc>
        <w:tc>
          <w:tcPr>
            <w:tcW w:w="2317" w:type="dxa"/>
            <w:vMerge/>
          </w:tcPr>
          <w:p w14:paraId="1D4594B1" w14:textId="77777777" w:rsidR="00B5223F" w:rsidRPr="00073924" w:rsidRDefault="00B5223F" w:rsidP="00517D38">
            <w:pPr>
              <w:rPr>
                <w:bCs/>
              </w:rPr>
            </w:pPr>
          </w:p>
        </w:tc>
      </w:tr>
      <w:tr w:rsidR="00B5223F" w:rsidRPr="00073924" w14:paraId="21C21D22" w14:textId="77777777" w:rsidTr="00073924">
        <w:trPr>
          <w:trHeight w:val="280"/>
        </w:trPr>
        <w:tc>
          <w:tcPr>
            <w:tcW w:w="7043" w:type="dxa"/>
          </w:tcPr>
          <w:p w14:paraId="10249436" w14:textId="77777777" w:rsidR="00B5223F" w:rsidRPr="00073924" w:rsidRDefault="00B5223F" w:rsidP="00517D38">
            <w:pPr>
              <w:rPr>
                <w:bCs/>
              </w:rPr>
            </w:pPr>
          </w:p>
        </w:tc>
        <w:tc>
          <w:tcPr>
            <w:tcW w:w="2317" w:type="dxa"/>
            <w:vMerge/>
          </w:tcPr>
          <w:p w14:paraId="66568F3E" w14:textId="77777777" w:rsidR="00B5223F" w:rsidRPr="00073924" w:rsidRDefault="00B5223F" w:rsidP="00517D38"/>
        </w:tc>
      </w:tr>
      <w:tr w:rsidR="00B5223F" w:rsidRPr="00073924" w14:paraId="3CD37808" w14:textId="77777777" w:rsidTr="00073924">
        <w:trPr>
          <w:trHeight w:val="280"/>
        </w:trPr>
        <w:tc>
          <w:tcPr>
            <w:tcW w:w="7043" w:type="dxa"/>
          </w:tcPr>
          <w:p w14:paraId="2EE47280" w14:textId="77777777" w:rsidR="00B5223F" w:rsidRPr="00073924" w:rsidRDefault="00B5223F" w:rsidP="00517D38">
            <w:pPr>
              <w:jc w:val="right"/>
              <w:rPr>
                <w:b/>
                <w:bCs/>
              </w:rPr>
            </w:pPr>
            <w:r w:rsidRPr="00073924">
              <w:rPr>
                <w:b/>
                <w:bCs/>
              </w:rPr>
              <w:t>Fee</w:t>
            </w:r>
          </w:p>
        </w:tc>
        <w:tc>
          <w:tcPr>
            <w:tcW w:w="2317" w:type="dxa"/>
          </w:tcPr>
          <w:p w14:paraId="0D09677A" w14:textId="77777777" w:rsidR="00B5223F" w:rsidRPr="00073924" w:rsidRDefault="00B5223F" w:rsidP="00517D38">
            <w:pPr>
              <w:rPr>
                <w:b/>
                <w:bCs/>
              </w:rPr>
            </w:pPr>
            <w:r w:rsidRPr="00073924">
              <w:rPr>
                <w:b/>
                <w:bCs/>
              </w:rPr>
              <w:t>USD</w:t>
            </w:r>
          </w:p>
        </w:tc>
      </w:tr>
    </w:tbl>
    <w:p w14:paraId="17B0940A" w14:textId="77777777" w:rsidR="00B5223F" w:rsidRPr="00073924" w:rsidRDefault="00B5223F" w:rsidP="00517D38"/>
    <w:p w14:paraId="6C2C01E5" w14:textId="77777777" w:rsidR="00B5223F" w:rsidRPr="00073924" w:rsidRDefault="00B5223F" w:rsidP="00517D38">
      <w:pPr>
        <w:pStyle w:val="ListParagraph"/>
        <w:keepNext/>
        <w:keepLines/>
        <w:numPr>
          <w:ilvl w:val="0"/>
          <w:numId w:val="20"/>
        </w:numPr>
        <w:spacing w:after="0" w:line="240" w:lineRule="auto"/>
        <w:rPr>
          <w:rFonts w:ascii="Times New Roman" w:hAnsi="Times New Roman"/>
        </w:rPr>
      </w:pPr>
      <w:r w:rsidRPr="00073924">
        <w:rPr>
          <w:rFonts w:ascii="Times New Roman" w:hAnsi="Times New Roman"/>
          <w:b/>
          <w:bCs/>
        </w:rPr>
        <w:t>Appendix Term:</w:t>
      </w:r>
      <w:r w:rsidRPr="00073924">
        <w:rPr>
          <w:rFonts w:ascii="Times New Roman" w:hAnsi="Times New Roman"/>
          <w:bCs/>
        </w:rPr>
        <w:t xml:space="preserve"> </w:t>
      </w:r>
      <w:r w:rsidRPr="00073924">
        <w:rPr>
          <w:rFonts w:ascii="Times New Roman" w:hAnsi="Times New Roman"/>
        </w:rPr>
        <w:t>_____ through _____.</w:t>
      </w:r>
    </w:p>
    <w:p w14:paraId="6F51AC38" w14:textId="52CA2D5F" w:rsidR="00B5223F" w:rsidRPr="00073924" w:rsidRDefault="00B5223F" w:rsidP="00517D38">
      <w:pPr>
        <w:pStyle w:val="ListParagraph"/>
        <w:keepNext/>
        <w:keepLines/>
        <w:numPr>
          <w:ilvl w:val="1"/>
          <w:numId w:val="20"/>
        </w:numPr>
        <w:spacing w:after="0" w:line="240" w:lineRule="auto"/>
        <w:rPr>
          <w:rFonts w:ascii="Times New Roman" w:hAnsi="Times New Roman"/>
        </w:rPr>
      </w:pPr>
      <w:r w:rsidRPr="00073924">
        <w:rPr>
          <w:rFonts w:ascii="Times New Roman" w:hAnsi="Times New Roman"/>
        </w:rPr>
        <w:t xml:space="preserve">The Appendix Term may never exceed the </w:t>
      </w:r>
      <w:r w:rsidR="00AD6D39">
        <w:rPr>
          <w:rFonts w:ascii="Times New Roman" w:hAnsi="Times New Roman"/>
        </w:rPr>
        <w:t>T</w:t>
      </w:r>
      <w:r w:rsidRPr="00073924">
        <w:rPr>
          <w:rFonts w:ascii="Times New Roman" w:hAnsi="Times New Roman"/>
        </w:rPr>
        <w:t xml:space="preserve">erm of the Agreement as set forth in </w:t>
      </w:r>
      <w:r w:rsidR="00517D38" w:rsidRPr="00073924">
        <w:rPr>
          <w:rFonts w:ascii="Times New Roman" w:hAnsi="Times New Roman"/>
        </w:rPr>
        <w:t>Section 7.1.</w:t>
      </w:r>
      <w:r w:rsidR="00F021A7">
        <w:rPr>
          <w:rFonts w:ascii="Times New Roman" w:hAnsi="Times New Roman"/>
        </w:rPr>
        <w:t xml:space="preserve"> </w:t>
      </w:r>
      <w:r w:rsidRPr="00073924">
        <w:rPr>
          <w:rFonts w:ascii="Times New Roman" w:hAnsi="Times New Roman"/>
        </w:rPr>
        <w:t>of the Agreement.</w:t>
      </w:r>
    </w:p>
    <w:p w14:paraId="2B48CE44" w14:textId="77777777" w:rsidR="00B5223F" w:rsidRPr="00073924" w:rsidRDefault="00B5223F" w:rsidP="00517D38"/>
    <w:p w14:paraId="231DCC2A" w14:textId="77777777" w:rsidR="00532BA6" w:rsidRPr="00073924" w:rsidRDefault="00532BA6" w:rsidP="00517D38">
      <w:pPr>
        <w:pStyle w:val="Header"/>
        <w:widowControl/>
        <w:tabs>
          <w:tab w:val="clear" w:pos="4320"/>
          <w:tab w:val="clear" w:pos="8640"/>
          <w:tab w:val="left" w:pos="720"/>
          <w:tab w:val="left" w:pos="5040"/>
          <w:tab w:val="left" w:pos="5760"/>
        </w:tabs>
        <w:rPr>
          <w:bCs/>
          <w:szCs w:val="22"/>
        </w:rPr>
      </w:pPr>
    </w:p>
    <w:p w14:paraId="492E2958" w14:textId="77777777" w:rsidR="00357D7D" w:rsidRPr="00073924" w:rsidRDefault="59F5AD4D" w:rsidP="00517D38">
      <w:pPr>
        <w:pStyle w:val="Heading1"/>
      </w:pPr>
      <w:r w:rsidRPr="00073924">
        <w:rPr>
          <w:szCs w:val="22"/>
        </w:rPr>
        <w:br w:type="page"/>
      </w:r>
      <w:r w:rsidR="00357D7D" w:rsidRPr="00073924">
        <w:lastRenderedPageBreak/>
        <w:t>APPENDIX G</w:t>
      </w:r>
      <w:r w:rsidR="00A71B84" w:rsidRPr="00073924">
        <w:t>:</w:t>
      </w:r>
      <w:r w:rsidR="00357D7D" w:rsidRPr="00073924">
        <w:t xml:space="preserve"> CURRENT PROTOCOLS</w:t>
      </w:r>
      <w:r w:rsidR="004A717C" w:rsidRPr="00073924">
        <w:t xml:space="preserve"> – Annual Subscription</w:t>
      </w:r>
    </w:p>
    <w:p w14:paraId="0AF4F6C1" w14:textId="77777777" w:rsidR="00555289" w:rsidRPr="00073924" w:rsidRDefault="0078399B" w:rsidP="00517D38">
      <w:pPr>
        <w:rPr>
          <w:szCs w:val="22"/>
        </w:rPr>
      </w:pPr>
      <w:r w:rsidRPr="00073924">
        <w:rPr>
          <w:szCs w:val="22"/>
        </w:rPr>
        <w:t>Customer:</w:t>
      </w:r>
      <w:r w:rsidR="00A02D98" w:rsidRPr="00073924">
        <w:rPr>
          <w:szCs w:val="22"/>
        </w:rPr>
        <w:t xml:space="preserve"> </w:t>
      </w:r>
    </w:p>
    <w:p w14:paraId="72AAFF29" w14:textId="77777777" w:rsidR="00357D7D" w:rsidRPr="00073924" w:rsidRDefault="00357D7D" w:rsidP="00517D38">
      <w:pPr>
        <w:tabs>
          <w:tab w:val="left" w:pos="720"/>
          <w:tab w:val="left" w:pos="5040"/>
          <w:tab w:val="left" w:pos="5760"/>
        </w:tabs>
        <w:rPr>
          <w:szCs w:val="22"/>
        </w:rPr>
      </w:pPr>
    </w:p>
    <w:p w14:paraId="250BB8D0" w14:textId="77777777" w:rsidR="00357D7D" w:rsidRPr="00073924" w:rsidRDefault="00357D7D" w:rsidP="00517D38">
      <w:pPr>
        <w:tabs>
          <w:tab w:val="left" w:pos="5040"/>
          <w:tab w:val="left" w:pos="5760"/>
        </w:tabs>
        <w:rPr>
          <w:szCs w:val="22"/>
        </w:rPr>
      </w:pPr>
      <w:r w:rsidRPr="00073924">
        <w:rPr>
          <w:szCs w:val="22"/>
        </w:rPr>
        <w:t xml:space="preserve">Current Protocols Online (CP Online) </w:t>
      </w:r>
      <w:r w:rsidR="007834F5" w:rsidRPr="00073924">
        <w:rPr>
          <w:szCs w:val="22"/>
        </w:rPr>
        <w:t>is</w:t>
      </w:r>
      <w:r w:rsidRPr="00073924">
        <w:rPr>
          <w:szCs w:val="22"/>
        </w:rPr>
        <w:t xml:space="preserve"> the electronic</w:t>
      </w:r>
      <w:r w:rsidR="007834F5" w:rsidRPr="00073924">
        <w:rPr>
          <w:szCs w:val="22"/>
        </w:rPr>
        <w:t xml:space="preserve"> </w:t>
      </w:r>
      <w:r w:rsidRPr="00073924">
        <w:rPr>
          <w:szCs w:val="22"/>
        </w:rPr>
        <w:t xml:space="preserve">edition of Wiley’s Current Protocols publications to which the </w:t>
      </w:r>
      <w:r w:rsidR="009977FF" w:rsidRPr="00073924">
        <w:rPr>
          <w:szCs w:val="22"/>
        </w:rPr>
        <w:t>Customer</w:t>
      </w:r>
      <w:r w:rsidRPr="00073924">
        <w:rPr>
          <w:szCs w:val="22"/>
        </w:rPr>
        <w:t xml:space="preserve"> has access under this </w:t>
      </w:r>
      <w:r w:rsidR="009977FF" w:rsidRPr="00073924">
        <w:rPr>
          <w:szCs w:val="22"/>
        </w:rPr>
        <w:t>Agreement</w:t>
      </w:r>
      <w:r w:rsidRPr="00073924">
        <w:rPr>
          <w:szCs w:val="22"/>
        </w:rPr>
        <w:t>.</w:t>
      </w:r>
      <w:r w:rsidR="00A7424A" w:rsidRPr="00073924">
        <w:rPr>
          <w:szCs w:val="22"/>
        </w:rPr>
        <w:t xml:space="preserve"> </w:t>
      </w:r>
      <w:r w:rsidRPr="00073924">
        <w:rPr>
          <w:szCs w:val="22"/>
        </w:rPr>
        <w:t xml:space="preserve">They include tables of content, abstracts, full text and illustrations, data tables and any additional content not included in the print versions of the CP publications, including but not limited to search and retrieval tools, </w:t>
      </w:r>
      <w:proofErr w:type="gramStart"/>
      <w:r w:rsidRPr="00073924">
        <w:rPr>
          <w:szCs w:val="22"/>
        </w:rPr>
        <w:t>software</w:t>
      </w:r>
      <w:proofErr w:type="gramEnd"/>
      <w:r w:rsidRPr="00073924">
        <w:rPr>
          <w:szCs w:val="22"/>
        </w:rPr>
        <w:t xml:space="preserve"> and functionality.</w:t>
      </w:r>
      <w:r w:rsidR="00A7424A" w:rsidRPr="00073924">
        <w:rPr>
          <w:szCs w:val="22"/>
        </w:rPr>
        <w:t xml:space="preserve"> </w:t>
      </w:r>
      <w:r w:rsidRPr="00073924">
        <w:rPr>
          <w:szCs w:val="22"/>
        </w:rPr>
        <w:t>CP Online will be updated regularly.</w:t>
      </w:r>
    </w:p>
    <w:p w14:paraId="4DBDD336" w14:textId="77777777" w:rsidR="00357D7D" w:rsidRPr="00073924" w:rsidRDefault="00357D7D" w:rsidP="00517D38">
      <w:pPr>
        <w:tabs>
          <w:tab w:val="left" w:pos="720"/>
          <w:tab w:val="left" w:pos="5040"/>
          <w:tab w:val="left" w:pos="5760"/>
        </w:tabs>
        <w:rPr>
          <w:szCs w:val="22"/>
        </w:rPr>
      </w:pPr>
    </w:p>
    <w:p w14:paraId="065C9BAF" w14:textId="77777777" w:rsidR="00D45D6F" w:rsidRPr="00073924" w:rsidRDefault="00E9629F" w:rsidP="00517D38">
      <w:pPr>
        <w:pStyle w:val="ListParagraph"/>
        <w:numPr>
          <w:ilvl w:val="0"/>
          <w:numId w:val="13"/>
        </w:numPr>
        <w:tabs>
          <w:tab w:val="left" w:pos="5040"/>
          <w:tab w:val="left" w:pos="5760"/>
        </w:tabs>
        <w:spacing w:after="0" w:line="240" w:lineRule="auto"/>
        <w:rPr>
          <w:rFonts w:ascii="Times New Roman" w:hAnsi="Times New Roman"/>
        </w:rPr>
      </w:pPr>
      <w:r w:rsidRPr="00073924">
        <w:rPr>
          <w:rFonts w:ascii="Times New Roman" w:hAnsi="Times New Roman"/>
          <w:b/>
          <w:bCs/>
        </w:rPr>
        <w:t xml:space="preserve">Access: </w:t>
      </w:r>
      <w:r w:rsidR="009F7B6A" w:rsidRPr="00073924">
        <w:rPr>
          <w:rFonts w:ascii="Times New Roman" w:hAnsi="Times New Roman"/>
        </w:rPr>
        <w:t xml:space="preserve">An Annual Subscription will give the </w:t>
      </w:r>
      <w:r w:rsidR="009977FF" w:rsidRPr="00073924">
        <w:rPr>
          <w:rFonts w:ascii="Times New Roman" w:hAnsi="Times New Roman"/>
        </w:rPr>
        <w:t>Customer</w:t>
      </w:r>
      <w:r w:rsidR="009F7B6A" w:rsidRPr="00073924">
        <w:rPr>
          <w:rFonts w:ascii="Times New Roman" w:hAnsi="Times New Roman"/>
        </w:rPr>
        <w:t xml:space="preserve"> access to the Current Protocols Edition that is available at the time </w:t>
      </w:r>
      <w:r w:rsidR="00FD55D0" w:rsidRPr="00073924">
        <w:rPr>
          <w:rFonts w:ascii="Times New Roman" w:hAnsi="Times New Roman"/>
        </w:rPr>
        <w:t xml:space="preserve">this Agreement begins </w:t>
      </w:r>
      <w:r w:rsidR="009F7B6A" w:rsidRPr="00073924">
        <w:rPr>
          <w:rFonts w:ascii="Times New Roman" w:hAnsi="Times New Roman"/>
        </w:rPr>
        <w:t>for twelve months, plus any content added or updated during the Term of the subscription.</w:t>
      </w:r>
      <w:r w:rsidR="00A7424A" w:rsidRPr="00073924">
        <w:rPr>
          <w:rFonts w:ascii="Times New Roman" w:hAnsi="Times New Roman"/>
        </w:rPr>
        <w:t xml:space="preserve"> </w:t>
      </w:r>
    </w:p>
    <w:p w14:paraId="29CD2C9E" w14:textId="77777777" w:rsidR="00B5223F" w:rsidRPr="00073924" w:rsidRDefault="00B5223F" w:rsidP="00517D38">
      <w:pPr>
        <w:pStyle w:val="ProductAppendecisLevel4"/>
        <w:numPr>
          <w:ilvl w:val="1"/>
          <w:numId w:val="13"/>
        </w:numPr>
        <w:rPr>
          <w:rFonts w:cs="Times New Roman"/>
          <w:lang w:val="en-US"/>
        </w:rPr>
      </w:pPr>
      <w:r w:rsidRPr="00073924">
        <w:rPr>
          <w:rFonts w:cs="Times New Roman"/>
          <w:lang w:val="en-US"/>
        </w:rPr>
        <w:t xml:space="preserve">The Customer must continue to subscribe each year </w:t>
      </w:r>
      <w:proofErr w:type="gramStart"/>
      <w:r w:rsidRPr="00073924">
        <w:rPr>
          <w:rFonts w:cs="Times New Roman"/>
          <w:lang w:val="en-US"/>
        </w:rPr>
        <w:t>in order to</w:t>
      </w:r>
      <w:proofErr w:type="gramEnd"/>
      <w:r w:rsidRPr="00073924">
        <w:rPr>
          <w:rFonts w:cs="Times New Roman"/>
          <w:lang w:val="en-US"/>
        </w:rPr>
        <w:t xml:space="preserve"> retain access. </w:t>
      </w:r>
    </w:p>
    <w:p w14:paraId="3F356B09" w14:textId="77777777" w:rsidR="00B5223F" w:rsidRPr="00073924" w:rsidRDefault="00B5223F" w:rsidP="00517D38"/>
    <w:p w14:paraId="607F8BB0" w14:textId="4401055E" w:rsidR="00CD4A8A" w:rsidRPr="00CF1779" w:rsidRDefault="00B5223F" w:rsidP="00CD4A8A">
      <w:pPr>
        <w:pStyle w:val="ListParagraph"/>
        <w:numPr>
          <w:ilvl w:val="0"/>
          <w:numId w:val="13"/>
        </w:numPr>
        <w:tabs>
          <w:tab w:val="left" w:pos="5040"/>
          <w:tab w:val="left" w:pos="5760"/>
        </w:tabs>
        <w:spacing w:after="0" w:line="240" w:lineRule="auto"/>
        <w:rPr>
          <w:rFonts w:ascii="Times New Roman" w:hAnsi="Times New Roman"/>
        </w:rPr>
      </w:pPr>
      <w:r w:rsidRPr="00073924">
        <w:rPr>
          <w:rFonts w:ascii="Times New Roman" w:hAnsi="Times New Roman"/>
          <w:b/>
        </w:rPr>
        <w:t xml:space="preserve">Fees: </w:t>
      </w:r>
      <w:r w:rsidRPr="00073924">
        <w:rPr>
          <w:rFonts w:ascii="Times New Roman" w:hAnsi="Times New Roman"/>
        </w:rPr>
        <w:t xml:space="preserve">CP Online Fees will be calculated based on the Customer's number of FTEs. </w:t>
      </w:r>
    </w:p>
    <w:p w14:paraId="71680615" w14:textId="0C4A014C" w:rsidR="00B5223F" w:rsidRPr="00CF1779" w:rsidRDefault="00CF1779" w:rsidP="00CF1779">
      <w:pPr>
        <w:pStyle w:val="ProductAppendecisLevel5"/>
        <w:numPr>
          <w:ilvl w:val="1"/>
          <w:numId w:val="13"/>
        </w:numPr>
        <w:rPr>
          <w:rFonts w:asciiTheme="majorBidi" w:hAnsiTheme="majorBidi" w:cstheme="majorBidi"/>
        </w:rPr>
      </w:pPr>
      <w:r w:rsidRPr="00305B22">
        <w:rPr>
          <w:rFonts w:asciiTheme="majorBidi" w:hAnsiTheme="majorBidi" w:cstheme="majorBidi"/>
        </w:rPr>
        <w:t>The titles for the initial license are listed with fees herein.</w:t>
      </w:r>
    </w:p>
    <w:p w14:paraId="68A69120" w14:textId="67B3E3FA" w:rsidR="00CD4A8A" w:rsidRPr="00CF1779" w:rsidRDefault="00CD4A8A" w:rsidP="00CD4A8A">
      <w:pPr>
        <w:pStyle w:val="ListParagraph"/>
        <w:keepNext/>
        <w:keepLines/>
        <w:numPr>
          <w:ilvl w:val="1"/>
          <w:numId w:val="13"/>
        </w:numPr>
        <w:spacing w:after="0" w:line="240" w:lineRule="auto"/>
        <w:rPr>
          <w:rFonts w:ascii="Times New Roman" w:hAnsi="Times New Roman"/>
        </w:rPr>
      </w:pPr>
      <w:r w:rsidRPr="00073924">
        <w:rPr>
          <w:rFonts w:ascii="Times New Roman" w:hAnsi="Times New Roman"/>
          <w:b/>
        </w:rPr>
        <w:t>Fee Increase Cap: ___%.</w:t>
      </w:r>
    </w:p>
    <w:tbl>
      <w:tblPr>
        <w:tblW w:w="949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870"/>
        <w:gridCol w:w="1370"/>
        <w:gridCol w:w="1362"/>
        <w:gridCol w:w="1277"/>
      </w:tblGrid>
      <w:tr w:rsidR="00B5223F" w:rsidRPr="00073924" w14:paraId="32DA3246" w14:textId="77777777" w:rsidTr="00073924">
        <w:tc>
          <w:tcPr>
            <w:tcW w:w="1620" w:type="dxa"/>
            <w:shd w:val="clear" w:color="auto" w:fill="auto"/>
            <w:noWrap/>
            <w:vAlign w:val="center"/>
            <w:hideMark/>
          </w:tcPr>
          <w:p w14:paraId="3EBE4273" w14:textId="77777777" w:rsidR="00B5223F" w:rsidRPr="00073924" w:rsidRDefault="00B5223F" w:rsidP="00517D38">
            <w:pPr>
              <w:widowControl/>
              <w:rPr>
                <w:b/>
                <w:bCs/>
                <w:color w:val="000000"/>
                <w:szCs w:val="22"/>
                <w:lang w:eastAsia="zh-CN"/>
              </w:rPr>
            </w:pPr>
            <w:r w:rsidRPr="00073924">
              <w:rPr>
                <w:b/>
                <w:bCs/>
                <w:color w:val="000000"/>
                <w:szCs w:val="22"/>
                <w:lang w:eastAsia="zh-CN"/>
              </w:rPr>
              <w:t>Catalog or Collection</w:t>
            </w:r>
          </w:p>
        </w:tc>
        <w:tc>
          <w:tcPr>
            <w:tcW w:w="3870" w:type="dxa"/>
            <w:shd w:val="clear" w:color="auto" w:fill="auto"/>
            <w:noWrap/>
            <w:vAlign w:val="center"/>
            <w:hideMark/>
          </w:tcPr>
          <w:p w14:paraId="24080222" w14:textId="77777777" w:rsidR="00B5223F" w:rsidRPr="00073924" w:rsidRDefault="00B5223F" w:rsidP="00517D38">
            <w:pPr>
              <w:widowControl/>
              <w:rPr>
                <w:b/>
                <w:bCs/>
                <w:color w:val="000000"/>
                <w:szCs w:val="22"/>
                <w:lang w:eastAsia="zh-CN"/>
              </w:rPr>
            </w:pPr>
            <w:r w:rsidRPr="00073924">
              <w:rPr>
                <w:b/>
                <w:bCs/>
                <w:color w:val="000000"/>
                <w:szCs w:val="22"/>
                <w:lang w:eastAsia="zh-CN"/>
              </w:rPr>
              <w:t>Title</w:t>
            </w:r>
          </w:p>
        </w:tc>
        <w:tc>
          <w:tcPr>
            <w:tcW w:w="1370" w:type="dxa"/>
            <w:shd w:val="clear" w:color="auto" w:fill="auto"/>
            <w:noWrap/>
            <w:vAlign w:val="center"/>
            <w:hideMark/>
          </w:tcPr>
          <w:p w14:paraId="62468959" w14:textId="77777777" w:rsidR="00B5223F" w:rsidRPr="00073924" w:rsidRDefault="00B5223F" w:rsidP="00517D38">
            <w:pPr>
              <w:widowControl/>
              <w:rPr>
                <w:b/>
                <w:bCs/>
                <w:color w:val="000000"/>
                <w:szCs w:val="22"/>
                <w:lang w:eastAsia="zh-CN"/>
              </w:rPr>
            </w:pPr>
            <w:r w:rsidRPr="00073924">
              <w:rPr>
                <w:b/>
                <w:bCs/>
                <w:color w:val="000000"/>
                <w:szCs w:val="22"/>
                <w:lang w:eastAsia="zh-CN"/>
              </w:rPr>
              <w:t>ISSN / ISBN</w:t>
            </w:r>
          </w:p>
        </w:tc>
        <w:tc>
          <w:tcPr>
            <w:tcW w:w="1362" w:type="dxa"/>
            <w:shd w:val="clear" w:color="auto" w:fill="auto"/>
            <w:noWrap/>
            <w:vAlign w:val="center"/>
            <w:hideMark/>
          </w:tcPr>
          <w:p w14:paraId="4710019C" w14:textId="77777777" w:rsidR="00B5223F" w:rsidRPr="00073924" w:rsidRDefault="00B5223F" w:rsidP="00517D38">
            <w:pPr>
              <w:widowControl/>
              <w:rPr>
                <w:b/>
                <w:bCs/>
                <w:color w:val="000000"/>
                <w:szCs w:val="22"/>
                <w:lang w:eastAsia="zh-CN"/>
              </w:rPr>
            </w:pPr>
            <w:r w:rsidRPr="00073924">
              <w:rPr>
                <w:b/>
                <w:bCs/>
                <w:color w:val="000000"/>
                <w:szCs w:val="22"/>
                <w:lang w:eastAsia="zh-CN"/>
              </w:rPr>
              <w:t>Years Included</w:t>
            </w:r>
          </w:p>
        </w:tc>
        <w:tc>
          <w:tcPr>
            <w:tcW w:w="1277" w:type="dxa"/>
            <w:shd w:val="clear" w:color="auto" w:fill="auto"/>
            <w:noWrap/>
            <w:vAlign w:val="center"/>
            <w:hideMark/>
          </w:tcPr>
          <w:p w14:paraId="4C1A9530" w14:textId="77777777" w:rsidR="00B5223F" w:rsidRPr="00073924" w:rsidRDefault="00B5223F" w:rsidP="00517D38">
            <w:pPr>
              <w:widowControl/>
              <w:rPr>
                <w:b/>
                <w:bCs/>
                <w:color w:val="000000"/>
                <w:szCs w:val="22"/>
                <w:lang w:eastAsia="zh-CN"/>
              </w:rPr>
            </w:pPr>
            <w:r w:rsidRPr="00073924">
              <w:rPr>
                <w:b/>
                <w:bCs/>
                <w:color w:val="000000"/>
                <w:szCs w:val="22"/>
                <w:lang w:eastAsia="zh-CN"/>
              </w:rPr>
              <w:t>Fee</w:t>
            </w:r>
          </w:p>
        </w:tc>
      </w:tr>
      <w:tr w:rsidR="00B5223F" w:rsidRPr="00073924" w14:paraId="02F907C3" w14:textId="77777777" w:rsidTr="00073924">
        <w:tc>
          <w:tcPr>
            <w:tcW w:w="1620" w:type="dxa"/>
            <w:shd w:val="clear" w:color="auto" w:fill="auto"/>
            <w:noWrap/>
            <w:vAlign w:val="center"/>
            <w:hideMark/>
          </w:tcPr>
          <w:p w14:paraId="11119AAC" w14:textId="276C956D" w:rsidR="00B5223F" w:rsidRPr="00073924" w:rsidRDefault="00B5223F" w:rsidP="00517D38">
            <w:pPr>
              <w:widowControl/>
              <w:rPr>
                <w:color w:val="000000"/>
                <w:szCs w:val="22"/>
                <w:lang w:eastAsia="zh-CN"/>
              </w:rPr>
            </w:pPr>
            <w:r w:rsidRPr="00073924">
              <w:rPr>
                <w:color w:val="000000"/>
                <w:szCs w:val="22"/>
                <w:lang w:eastAsia="zh-CN"/>
              </w:rPr>
              <w:t> </w:t>
            </w:r>
          </w:p>
        </w:tc>
        <w:tc>
          <w:tcPr>
            <w:tcW w:w="3870" w:type="dxa"/>
            <w:shd w:val="clear" w:color="auto" w:fill="auto"/>
            <w:noWrap/>
            <w:vAlign w:val="center"/>
            <w:hideMark/>
          </w:tcPr>
          <w:p w14:paraId="6B676B0F" w14:textId="77777777" w:rsidR="00B5223F" w:rsidRPr="00073924" w:rsidRDefault="00B5223F" w:rsidP="00517D38">
            <w:pPr>
              <w:widowControl/>
              <w:rPr>
                <w:color w:val="000000"/>
                <w:szCs w:val="22"/>
                <w:lang w:eastAsia="zh-CN"/>
              </w:rPr>
            </w:pPr>
            <w:r w:rsidRPr="00073924">
              <w:rPr>
                <w:color w:val="000000"/>
                <w:szCs w:val="22"/>
                <w:lang w:eastAsia="zh-CN"/>
              </w:rPr>
              <w:t> </w:t>
            </w:r>
          </w:p>
        </w:tc>
        <w:tc>
          <w:tcPr>
            <w:tcW w:w="1370" w:type="dxa"/>
            <w:shd w:val="clear" w:color="auto" w:fill="auto"/>
            <w:noWrap/>
            <w:vAlign w:val="center"/>
            <w:hideMark/>
          </w:tcPr>
          <w:p w14:paraId="79830F96" w14:textId="77777777" w:rsidR="00B5223F" w:rsidRPr="00073924" w:rsidRDefault="00B5223F" w:rsidP="00517D38">
            <w:pPr>
              <w:widowControl/>
              <w:rPr>
                <w:color w:val="000000"/>
                <w:szCs w:val="22"/>
                <w:lang w:eastAsia="zh-CN"/>
              </w:rPr>
            </w:pPr>
            <w:r w:rsidRPr="00073924">
              <w:rPr>
                <w:color w:val="000000"/>
                <w:szCs w:val="22"/>
                <w:lang w:eastAsia="zh-CN"/>
              </w:rPr>
              <w:t> </w:t>
            </w:r>
          </w:p>
        </w:tc>
        <w:tc>
          <w:tcPr>
            <w:tcW w:w="1362" w:type="dxa"/>
            <w:shd w:val="clear" w:color="auto" w:fill="auto"/>
            <w:noWrap/>
            <w:vAlign w:val="center"/>
            <w:hideMark/>
          </w:tcPr>
          <w:p w14:paraId="33F9F87C" w14:textId="77777777" w:rsidR="00B5223F" w:rsidRPr="00073924" w:rsidRDefault="00B5223F" w:rsidP="00517D38">
            <w:pPr>
              <w:widowControl/>
              <w:rPr>
                <w:color w:val="000000"/>
                <w:szCs w:val="22"/>
                <w:lang w:eastAsia="zh-CN"/>
              </w:rPr>
            </w:pPr>
            <w:r w:rsidRPr="00073924">
              <w:rPr>
                <w:color w:val="000000"/>
                <w:szCs w:val="22"/>
                <w:lang w:eastAsia="zh-CN"/>
              </w:rPr>
              <w:t> </w:t>
            </w:r>
          </w:p>
        </w:tc>
        <w:tc>
          <w:tcPr>
            <w:tcW w:w="1277" w:type="dxa"/>
            <w:shd w:val="clear" w:color="auto" w:fill="auto"/>
            <w:noWrap/>
            <w:vAlign w:val="center"/>
            <w:hideMark/>
          </w:tcPr>
          <w:p w14:paraId="17BE84CA" w14:textId="77777777" w:rsidR="00B5223F" w:rsidRPr="00073924" w:rsidRDefault="00B5223F" w:rsidP="00517D38">
            <w:pPr>
              <w:widowControl/>
              <w:rPr>
                <w:color w:val="000000"/>
                <w:szCs w:val="22"/>
                <w:lang w:eastAsia="zh-CN"/>
              </w:rPr>
            </w:pPr>
            <w:r w:rsidRPr="00073924">
              <w:rPr>
                <w:color w:val="000000"/>
                <w:szCs w:val="22"/>
                <w:lang w:eastAsia="zh-CN"/>
              </w:rPr>
              <w:t> </w:t>
            </w:r>
          </w:p>
        </w:tc>
      </w:tr>
      <w:tr w:rsidR="00B5223F" w:rsidRPr="00073924" w14:paraId="076E4BB2" w14:textId="77777777" w:rsidTr="00073924">
        <w:tc>
          <w:tcPr>
            <w:tcW w:w="5490" w:type="dxa"/>
            <w:gridSpan w:val="2"/>
            <w:shd w:val="clear" w:color="auto" w:fill="auto"/>
            <w:noWrap/>
            <w:vAlign w:val="center"/>
          </w:tcPr>
          <w:p w14:paraId="26AB772B" w14:textId="77777777" w:rsidR="00B5223F" w:rsidRPr="00073924" w:rsidRDefault="00B5223F" w:rsidP="00517D38">
            <w:pPr>
              <w:widowControl/>
              <w:jc w:val="right"/>
              <w:rPr>
                <w:b/>
                <w:bCs/>
                <w:color w:val="000000"/>
                <w:szCs w:val="22"/>
                <w:lang w:eastAsia="zh-CN"/>
              </w:rPr>
            </w:pPr>
            <w:r w:rsidRPr="00073924">
              <w:rPr>
                <w:b/>
                <w:bCs/>
                <w:color w:val="000000"/>
                <w:szCs w:val="22"/>
                <w:lang w:eastAsia="zh-CN"/>
              </w:rPr>
              <w:t>Total</w:t>
            </w:r>
          </w:p>
        </w:tc>
        <w:tc>
          <w:tcPr>
            <w:tcW w:w="4009" w:type="dxa"/>
            <w:gridSpan w:val="3"/>
            <w:shd w:val="clear" w:color="auto" w:fill="auto"/>
            <w:noWrap/>
            <w:vAlign w:val="center"/>
          </w:tcPr>
          <w:p w14:paraId="1B07705C" w14:textId="51BE084D" w:rsidR="00B5223F" w:rsidRPr="00073924" w:rsidRDefault="00B5223F" w:rsidP="00517D38">
            <w:pPr>
              <w:widowControl/>
              <w:rPr>
                <w:b/>
                <w:bCs/>
                <w:color w:val="000000"/>
                <w:szCs w:val="22"/>
                <w:lang w:eastAsia="zh-CN"/>
              </w:rPr>
            </w:pPr>
          </w:p>
        </w:tc>
      </w:tr>
    </w:tbl>
    <w:p w14:paraId="2D5AB013" w14:textId="77777777" w:rsidR="00B5223F" w:rsidRPr="00073924" w:rsidRDefault="00B5223F" w:rsidP="00517D38"/>
    <w:p w14:paraId="0B219C87" w14:textId="77777777" w:rsidR="00B5223F" w:rsidRPr="00073924" w:rsidRDefault="00B5223F" w:rsidP="00517D38">
      <w:pPr>
        <w:pStyle w:val="ListParagraph"/>
        <w:keepNext/>
        <w:keepLines/>
        <w:numPr>
          <w:ilvl w:val="0"/>
          <w:numId w:val="13"/>
        </w:numPr>
        <w:spacing w:after="0" w:line="240" w:lineRule="auto"/>
        <w:rPr>
          <w:rFonts w:ascii="Times New Roman" w:hAnsi="Times New Roman"/>
        </w:rPr>
      </w:pPr>
      <w:r w:rsidRPr="00073924">
        <w:rPr>
          <w:rFonts w:ascii="Times New Roman" w:hAnsi="Times New Roman"/>
          <w:b/>
          <w:bCs/>
        </w:rPr>
        <w:t>Appendix Term:</w:t>
      </w:r>
      <w:r w:rsidRPr="00073924">
        <w:rPr>
          <w:rFonts w:ascii="Times New Roman" w:hAnsi="Times New Roman"/>
          <w:bCs/>
        </w:rPr>
        <w:t xml:space="preserve"> </w:t>
      </w:r>
      <w:r w:rsidRPr="00073924">
        <w:rPr>
          <w:rFonts w:ascii="Times New Roman" w:hAnsi="Times New Roman"/>
        </w:rPr>
        <w:t>_____ through _____.</w:t>
      </w:r>
    </w:p>
    <w:p w14:paraId="237E8F6E" w14:textId="77777777" w:rsidR="00B5223F" w:rsidRPr="00073924" w:rsidRDefault="00B5223F" w:rsidP="00517D38">
      <w:pPr>
        <w:pStyle w:val="ListParagraph"/>
        <w:keepNext/>
        <w:keepLines/>
        <w:numPr>
          <w:ilvl w:val="1"/>
          <w:numId w:val="13"/>
        </w:numPr>
        <w:spacing w:after="0" w:line="240" w:lineRule="auto"/>
        <w:rPr>
          <w:rFonts w:ascii="Times New Roman" w:hAnsi="Times New Roman"/>
        </w:rPr>
      </w:pPr>
      <w:r w:rsidRPr="00073924">
        <w:rPr>
          <w:rFonts w:ascii="Times New Roman" w:hAnsi="Times New Roman"/>
        </w:rPr>
        <w:t>During this period, the Customer may license additional products under this Appendix and the Agreement.</w:t>
      </w:r>
    </w:p>
    <w:p w14:paraId="49514521" w14:textId="16C8D5E0" w:rsidR="00B5223F" w:rsidRPr="00073924" w:rsidRDefault="00B5223F" w:rsidP="00517D38">
      <w:pPr>
        <w:pStyle w:val="ListParagraph"/>
        <w:keepNext/>
        <w:keepLines/>
        <w:numPr>
          <w:ilvl w:val="1"/>
          <w:numId w:val="13"/>
        </w:numPr>
        <w:spacing w:after="0" w:line="240" w:lineRule="auto"/>
        <w:rPr>
          <w:rFonts w:ascii="Times New Roman" w:hAnsi="Times New Roman"/>
        </w:rPr>
      </w:pPr>
      <w:r w:rsidRPr="00073924">
        <w:rPr>
          <w:rFonts w:ascii="Times New Roman" w:hAnsi="Times New Roman"/>
        </w:rPr>
        <w:t xml:space="preserve">The Appendix Term may never exceed the </w:t>
      </w:r>
      <w:r w:rsidR="00AD6D39">
        <w:rPr>
          <w:rFonts w:ascii="Times New Roman" w:hAnsi="Times New Roman"/>
        </w:rPr>
        <w:t>T</w:t>
      </w:r>
      <w:r w:rsidRPr="00073924">
        <w:rPr>
          <w:rFonts w:ascii="Times New Roman" w:hAnsi="Times New Roman"/>
        </w:rPr>
        <w:t xml:space="preserve">erm of the Agreement as set forth in </w:t>
      </w:r>
      <w:r w:rsidR="00517D38" w:rsidRPr="00073924">
        <w:rPr>
          <w:rFonts w:ascii="Times New Roman" w:hAnsi="Times New Roman"/>
        </w:rPr>
        <w:t xml:space="preserve">Section 7.1. </w:t>
      </w:r>
      <w:r w:rsidRPr="00073924">
        <w:rPr>
          <w:rFonts w:ascii="Times New Roman" w:hAnsi="Times New Roman"/>
        </w:rPr>
        <w:t>of the Agreement.</w:t>
      </w:r>
    </w:p>
    <w:p w14:paraId="4DD5D87B" w14:textId="77777777" w:rsidR="00B5223F" w:rsidRPr="00073924" w:rsidRDefault="00B5223F" w:rsidP="00517D38">
      <w:pPr>
        <w:tabs>
          <w:tab w:val="left" w:pos="720"/>
          <w:tab w:val="left" w:pos="5040"/>
          <w:tab w:val="left" w:pos="5760"/>
        </w:tabs>
        <w:rPr>
          <w:b/>
          <w:szCs w:val="22"/>
        </w:rPr>
      </w:pPr>
    </w:p>
    <w:p w14:paraId="1FDECA31" w14:textId="77777777" w:rsidR="001D7C91" w:rsidRPr="00073924" w:rsidRDefault="001D7C91" w:rsidP="00517D38">
      <w:pPr>
        <w:rPr>
          <w:szCs w:val="22"/>
          <w:bdr w:val="single" w:sz="4" w:space="0" w:color="auto"/>
        </w:rPr>
      </w:pPr>
    </w:p>
    <w:p w14:paraId="40FF75AB" w14:textId="2ED9AB7C" w:rsidR="00B87D91" w:rsidRPr="00073924" w:rsidRDefault="59F5AD4D" w:rsidP="00517D38">
      <w:pPr>
        <w:pStyle w:val="Heading1"/>
        <w:rPr>
          <w:bCs/>
        </w:rPr>
      </w:pPr>
      <w:r w:rsidRPr="00073924">
        <w:rPr>
          <w:szCs w:val="22"/>
        </w:rPr>
        <w:br w:type="page"/>
      </w:r>
      <w:r w:rsidR="00741570" w:rsidRPr="00073924">
        <w:lastRenderedPageBreak/>
        <w:t>APPENDIX H</w:t>
      </w:r>
      <w:r w:rsidR="00A71B84" w:rsidRPr="00073924">
        <w:t>:</w:t>
      </w:r>
      <w:r w:rsidR="008F3763" w:rsidRPr="00073924">
        <w:t xml:space="preserve"> </w:t>
      </w:r>
      <w:r w:rsidR="00741570" w:rsidRPr="00073924">
        <w:t>DATABASES</w:t>
      </w:r>
      <w:r w:rsidR="00705C4B" w:rsidRPr="00073924">
        <w:t xml:space="preserve"> </w:t>
      </w:r>
      <w:r w:rsidR="004A717C" w:rsidRPr="00073924">
        <w:t>– Annual Subscription</w:t>
      </w:r>
    </w:p>
    <w:p w14:paraId="2351FFFB" w14:textId="77777777" w:rsidR="00555289" w:rsidRPr="00073924" w:rsidRDefault="0078399B" w:rsidP="00517D38">
      <w:pPr>
        <w:rPr>
          <w:szCs w:val="22"/>
        </w:rPr>
      </w:pPr>
      <w:r w:rsidRPr="00073924">
        <w:rPr>
          <w:szCs w:val="22"/>
        </w:rPr>
        <w:t>Customer:</w:t>
      </w:r>
      <w:r w:rsidR="00B70D35" w:rsidRPr="00073924">
        <w:rPr>
          <w:szCs w:val="22"/>
        </w:rPr>
        <w:t xml:space="preserve"> </w:t>
      </w:r>
    </w:p>
    <w:p w14:paraId="1BD61860" w14:textId="77777777" w:rsidR="00B87D91" w:rsidRPr="00073924" w:rsidRDefault="00B87D91" w:rsidP="00517D38">
      <w:pPr>
        <w:rPr>
          <w:szCs w:val="22"/>
        </w:rPr>
      </w:pPr>
    </w:p>
    <w:p w14:paraId="7F71ECB1" w14:textId="77777777" w:rsidR="00B87D91" w:rsidRPr="00073924" w:rsidRDefault="00741570" w:rsidP="00517D38">
      <w:pPr>
        <w:tabs>
          <w:tab w:val="left" w:pos="5040"/>
          <w:tab w:val="left" w:pos="5760"/>
        </w:tabs>
        <w:rPr>
          <w:szCs w:val="22"/>
        </w:rPr>
      </w:pPr>
      <w:r w:rsidRPr="00073924">
        <w:rPr>
          <w:szCs w:val="22"/>
        </w:rPr>
        <w:t>Licensed</w:t>
      </w:r>
      <w:r w:rsidR="00B87D91" w:rsidRPr="00073924">
        <w:rPr>
          <w:szCs w:val="22"/>
        </w:rPr>
        <w:t xml:space="preserve"> Databases are the electronic editions of Wiley’s databases to which the </w:t>
      </w:r>
      <w:r w:rsidR="009977FF" w:rsidRPr="00073924">
        <w:rPr>
          <w:szCs w:val="22"/>
        </w:rPr>
        <w:t>Customer</w:t>
      </w:r>
      <w:r w:rsidR="00B87D91" w:rsidRPr="00073924">
        <w:rPr>
          <w:szCs w:val="22"/>
        </w:rPr>
        <w:t xml:space="preserve"> has access under this </w:t>
      </w:r>
      <w:r w:rsidR="009977FF" w:rsidRPr="00073924">
        <w:rPr>
          <w:szCs w:val="22"/>
        </w:rPr>
        <w:t>Agreement</w:t>
      </w:r>
      <w:r w:rsidR="00B87D91" w:rsidRPr="00073924">
        <w:rPr>
          <w:szCs w:val="22"/>
        </w:rPr>
        <w:t xml:space="preserve"> (the </w:t>
      </w:r>
      <w:r w:rsidR="007834F5" w:rsidRPr="00073924">
        <w:rPr>
          <w:szCs w:val="22"/>
        </w:rPr>
        <w:t>“</w:t>
      </w:r>
      <w:r w:rsidR="00B87D91" w:rsidRPr="00073924">
        <w:rPr>
          <w:szCs w:val="22"/>
        </w:rPr>
        <w:t>Edition(s)</w:t>
      </w:r>
      <w:r w:rsidR="007834F5" w:rsidRPr="00073924">
        <w:rPr>
          <w:szCs w:val="22"/>
        </w:rPr>
        <w:t>”</w:t>
      </w:r>
      <w:r w:rsidR="00B87D91" w:rsidRPr="00073924">
        <w:rPr>
          <w:szCs w:val="22"/>
        </w:rPr>
        <w:t>).</w:t>
      </w:r>
      <w:r w:rsidR="00A7424A" w:rsidRPr="00073924">
        <w:rPr>
          <w:szCs w:val="22"/>
        </w:rPr>
        <w:t xml:space="preserve"> </w:t>
      </w:r>
      <w:r w:rsidR="00B87D91" w:rsidRPr="00073924">
        <w:rPr>
          <w:szCs w:val="22"/>
        </w:rPr>
        <w:t xml:space="preserve">They may include tables of content, abstracts, full text and illustrations, data tables and any additional content not included in the print versions of the databases, including but not limited to search and retrieval tools, </w:t>
      </w:r>
      <w:proofErr w:type="gramStart"/>
      <w:r w:rsidR="00B87D91" w:rsidRPr="00073924">
        <w:rPr>
          <w:szCs w:val="22"/>
        </w:rPr>
        <w:t>software</w:t>
      </w:r>
      <w:proofErr w:type="gramEnd"/>
      <w:r w:rsidR="00B87D91" w:rsidRPr="00073924">
        <w:rPr>
          <w:szCs w:val="22"/>
        </w:rPr>
        <w:t xml:space="preserve"> and functionality.</w:t>
      </w:r>
      <w:r w:rsidR="00A7424A" w:rsidRPr="00073924">
        <w:rPr>
          <w:szCs w:val="22"/>
        </w:rPr>
        <w:t xml:space="preserve"> </w:t>
      </w:r>
      <w:r w:rsidR="00B87D91" w:rsidRPr="00073924">
        <w:rPr>
          <w:szCs w:val="22"/>
        </w:rPr>
        <w:t>Databases will be updated regularly.</w:t>
      </w:r>
    </w:p>
    <w:p w14:paraId="50924FFD" w14:textId="77777777" w:rsidR="00B87D91" w:rsidRPr="00073924" w:rsidRDefault="00B87D91" w:rsidP="00517D38">
      <w:pPr>
        <w:tabs>
          <w:tab w:val="left" w:pos="720"/>
          <w:tab w:val="left" w:pos="5040"/>
          <w:tab w:val="left" w:pos="5760"/>
        </w:tabs>
        <w:rPr>
          <w:szCs w:val="22"/>
        </w:rPr>
      </w:pPr>
    </w:p>
    <w:p w14:paraId="18138956" w14:textId="77777777" w:rsidR="00D45D6F" w:rsidRPr="00073924" w:rsidRDefault="00E9629F" w:rsidP="00517D38">
      <w:pPr>
        <w:pStyle w:val="ListParagraph"/>
        <w:numPr>
          <w:ilvl w:val="0"/>
          <w:numId w:val="14"/>
        </w:numPr>
        <w:tabs>
          <w:tab w:val="left" w:pos="5040"/>
          <w:tab w:val="left" w:pos="5760"/>
        </w:tabs>
        <w:spacing w:after="0" w:line="240" w:lineRule="auto"/>
        <w:rPr>
          <w:rFonts w:ascii="Times New Roman" w:hAnsi="Times New Roman"/>
        </w:rPr>
      </w:pPr>
      <w:r w:rsidRPr="00073924">
        <w:rPr>
          <w:rFonts w:ascii="Times New Roman" w:hAnsi="Times New Roman"/>
          <w:b/>
          <w:bCs/>
        </w:rPr>
        <w:t xml:space="preserve">Access: </w:t>
      </w:r>
      <w:r w:rsidR="00B87D91" w:rsidRPr="00073924">
        <w:rPr>
          <w:rFonts w:ascii="Times New Roman" w:hAnsi="Times New Roman"/>
        </w:rPr>
        <w:t xml:space="preserve">An Annual Subscription will give the </w:t>
      </w:r>
      <w:r w:rsidR="009977FF" w:rsidRPr="00073924">
        <w:rPr>
          <w:rFonts w:ascii="Times New Roman" w:hAnsi="Times New Roman"/>
        </w:rPr>
        <w:t>Customer</w:t>
      </w:r>
      <w:r w:rsidR="00B87D91" w:rsidRPr="00073924">
        <w:rPr>
          <w:rFonts w:ascii="Times New Roman" w:hAnsi="Times New Roman"/>
        </w:rPr>
        <w:t xml:space="preserve"> access to the Database Edition that is available at the time </w:t>
      </w:r>
      <w:r w:rsidR="00FD55D0" w:rsidRPr="00073924">
        <w:rPr>
          <w:rFonts w:ascii="Times New Roman" w:hAnsi="Times New Roman"/>
        </w:rPr>
        <w:t xml:space="preserve">this Agreement begins </w:t>
      </w:r>
      <w:r w:rsidR="009227F2" w:rsidRPr="00073924">
        <w:rPr>
          <w:rFonts w:ascii="Times New Roman" w:hAnsi="Times New Roman"/>
        </w:rPr>
        <w:t>f</w:t>
      </w:r>
      <w:r w:rsidR="00B87D91" w:rsidRPr="00073924">
        <w:rPr>
          <w:rFonts w:ascii="Times New Roman" w:hAnsi="Times New Roman"/>
        </w:rPr>
        <w:t>or twelve months, plus any content added or updated during the Term of the subscription.</w:t>
      </w:r>
      <w:r w:rsidR="00A7424A" w:rsidRPr="00073924">
        <w:rPr>
          <w:rFonts w:ascii="Times New Roman" w:hAnsi="Times New Roman"/>
        </w:rPr>
        <w:t xml:space="preserve"> </w:t>
      </w:r>
    </w:p>
    <w:p w14:paraId="40885559" w14:textId="77777777" w:rsidR="00B5223F" w:rsidRPr="00073924" w:rsidRDefault="00B5223F" w:rsidP="00517D38">
      <w:pPr>
        <w:pStyle w:val="ProductAppendecisLevel4"/>
        <w:numPr>
          <w:ilvl w:val="1"/>
          <w:numId w:val="14"/>
        </w:numPr>
        <w:rPr>
          <w:rFonts w:cs="Times New Roman"/>
          <w:lang w:val="en-US"/>
        </w:rPr>
      </w:pPr>
      <w:r w:rsidRPr="00073924">
        <w:rPr>
          <w:rFonts w:cs="Times New Roman"/>
          <w:lang w:val="en-US"/>
        </w:rPr>
        <w:t xml:space="preserve">The Customer must continue to subscribe each year </w:t>
      </w:r>
      <w:proofErr w:type="gramStart"/>
      <w:r w:rsidRPr="00073924">
        <w:rPr>
          <w:rFonts w:cs="Times New Roman"/>
          <w:lang w:val="en-US"/>
        </w:rPr>
        <w:t>in order to</w:t>
      </w:r>
      <w:proofErr w:type="gramEnd"/>
      <w:r w:rsidRPr="00073924">
        <w:rPr>
          <w:rFonts w:cs="Times New Roman"/>
          <w:lang w:val="en-US"/>
        </w:rPr>
        <w:t xml:space="preserve"> retain access. </w:t>
      </w:r>
    </w:p>
    <w:p w14:paraId="493F1E82" w14:textId="77777777" w:rsidR="00B5223F" w:rsidRPr="00073924" w:rsidRDefault="00B5223F" w:rsidP="00517D38"/>
    <w:p w14:paraId="15823FA4" w14:textId="77777777" w:rsidR="00B5223F" w:rsidRPr="00073924" w:rsidRDefault="00B5223F" w:rsidP="00517D38">
      <w:pPr>
        <w:pStyle w:val="ListParagraph"/>
        <w:numPr>
          <w:ilvl w:val="0"/>
          <w:numId w:val="14"/>
        </w:numPr>
        <w:tabs>
          <w:tab w:val="left" w:pos="5040"/>
          <w:tab w:val="left" w:pos="5760"/>
        </w:tabs>
        <w:spacing w:after="0" w:line="240" w:lineRule="auto"/>
        <w:rPr>
          <w:rFonts w:ascii="Times New Roman" w:hAnsi="Times New Roman"/>
        </w:rPr>
      </w:pPr>
      <w:r w:rsidRPr="00073924">
        <w:rPr>
          <w:rFonts w:ascii="Times New Roman" w:hAnsi="Times New Roman"/>
          <w:b/>
        </w:rPr>
        <w:t xml:space="preserve">Fees: </w:t>
      </w:r>
      <w:r w:rsidRPr="00073924">
        <w:rPr>
          <w:rFonts w:ascii="Times New Roman" w:hAnsi="Times New Roman"/>
        </w:rPr>
        <w:t xml:space="preserve">Database Fees will be calculated based on the Customer's number of FTEs. </w:t>
      </w:r>
    </w:p>
    <w:p w14:paraId="40D024F6" w14:textId="77777777" w:rsidR="00B5223F" w:rsidRPr="00073924" w:rsidRDefault="00B5223F" w:rsidP="00517D38">
      <w:pPr>
        <w:pStyle w:val="ListParagraph"/>
        <w:keepNext/>
        <w:keepLines/>
        <w:numPr>
          <w:ilvl w:val="1"/>
          <w:numId w:val="14"/>
        </w:numPr>
        <w:spacing w:after="0" w:line="240" w:lineRule="auto"/>
        <w:rPr>
          <w:rFonts w:ascii="Times New Roman" w:hAnsi="Times New Roman"/>
        </w:rPr>
      </w:pPr>
      <w:r w:rsidRPr="00073924">
        <w:rPr>
          <w:rFonts w:ascii="Times New Roman" w:hAnsi="Times New Roman"/>
        </w:rPr>
        <w:t>The titles for the initial license are listed with fees below.</w:t>
      </w:r>
    </w:p>
    <w:p w14:paraId="0C26B58E" w14:textId="77777777" w:rsidR="00B5223F" w:rsidRPr="00073924" w:rsidRDefault="00B5223F" w:rsidP="00517D38">
      <w:pPr>
        <w:pStyle w:val="ListParagraph"/>
        <w:keepNext/>
        <w:keepLines/>
        <w:numPr>
          <w:ilvl w:val="1"/>
          <w:numId w:val="14"/>
        </w:numPr>
        <w:spacing w:after="0" w:line="240" w:lineRule="auto"/>
        <w:rPr>
          <w:rFonts w:ascii="Times New Roman" w:hAnsi="Times New Roman"/>
        </w:rPr>
      </w:pPr>
      <w:r w:rsidRPr="00073924">
        <w:rPr>
          <w:rFonts w:ascii="Times New Roman" w:hAnsi="Times New Roman"/>
          <w:b/>
        </w:rPr>
        <w:t>Fee Increase Cap: ___%.</w:t>
      </w:r>
    </w:p>
    <w:tbl>
      <w:tblPr>
        <w:tblW w:w="949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870"/>
        <w:gridCol w:w="1370"/>
        <w:gridCol w:w="1362"/>
        <w:gridCol w:w="1277"/>
      </w:tblGrid>
      <w:tr w:rsidR="00B5223F" w:rsidRPr="00073924" w14:paraId="3CD403C9" w14:textId="77777777" w:rsidTr="00073924">
        <w:tc>
          <w:tcPr>
            <w:tcW w:w="1620" w:type="dxa"/>
            <w:shd w:val="clear" w:color="auto" w:fill="auto"/>
            <w:noWrap/>
            <w:vAlign w:val="center"/>
            <w:hideMark/>
          </w:tcPr>
          <w:p w14:paraId="440FC74D" w14:textId="77777777" w:rsidR="00B5223F" w:rsidRPr="00073924" w:rsidRDefault="00B5223F" w:rsidP="00517D38">
            <w:pPr>
              <w:widowControl/>
              <w:rPr>
                <w:b/>
                <w:bCs/>
                <w:color w:val="000000"/>
                <w:szCs w:val="22"/>
                <w:lang w:eastAsia="zh-CN"/>
              </w:rPr>
            </w:pPr>
            <w:r w:rsidRPr="00073924">
              <w:rPr>
                <w:b/>
                <w:bCs/>
                <w:color w:val="000000"/>
                <w:szCs w:val="22"/>
                <w:lang w:eastAsia="zh-CN"/>
              </w:rPr>
              <w:t>Catalog or Collection</w:t>
            </w:r>
          </w:p>
        </w:tc>
        <w:tc>
          <w:tcPr>
            <w:tcW w:w="3870" w:type="dxa"/>
            <w:shd w:val="clear" w:color="auto" w:fill="auto"/>
            <w:noWrap/>
            <w:vAlign w:val="center"/>
            <w:hideMark/>
          </w:tcPr>
          <w:p w14:paraId="2C5DB016" w14:textId="77777777" w:rsidR="00B5223F" w:rsidRPr="00073924" w:rsidRDefault="00B5223F" w:rsidP="00517D38">
            <w:pPr>
              <w:widowControl/>
              <w:rPr>
                <w:b/>
                <w:bCs/>
                <w:color w:val="000000"/>
                <w:szCs w:val="22"/>
                <w:lang w:eastAsia="zh-CN"/>
              </w:rPr>
            </w:pPr>
            <w:r w:rsidRPr="00073924">
              <w:rPr>
                <w:b/>
                <w:bCs/>
                <w:color w:val="000000"/>
                <w:szCs w:val="22"/>
                <w:lang w:eastAsia="zh-CN"/>
              </w:rPr>
              <w:t>Title</w:t>
            </w:r>
          </w:p>
        </w:tc>
        <w:tc>
          <w:tcPr>
            <w:tcW w:w="1370" w:type="dxa"/>
            <w:shd w:val="clear" w:color="auto" w:fill="auto"/>
            <w:noWrap/>
            <w:vAlign w:val="center"/>
            <w:hideMark/>
          </w:tcPr>
          <w:p w14:paraId="2139110A" w14:textId="77777777" w:rsidR="00B5223F" w:rsidRPr="00073924" w:rsidRDefault="00B5223F" w:rsidP="00517D38">
            <w:pPr>
              <w:widowControl/>
              <w:rPr>
                <w:b/>
                <w:bCs/>
                <w:color w:val="000000"/>
                <w:szCs w:val="22"/>
                <w:lang w:eastAsia="zh-CN"/>
              </w:rPr>
            </w:pPr>
            <w:r w:rsidRPr="00073924">
              <w:rPr>
                <w:b/>
                <w:bCs/>
                <w:color w:val="000000"/>
                <w:szCs w:val="22"/>
                <w:lang w:eastAsia="zh-CN"/>
              </w:rPr>
              <w:t>ISSN / ISBN</w:t>
            </w:r>
          </w:p>
        </w:tc>
        <w:tc>
          <w:tcPr>
            <w:tcW w:w="1362" w:type="dxa"/>
            <w:shd w:val="clear" w:color="auto" w:fill="auto"/>
            <w:noWrap/>
            <w:vAlign w:val="center"/>
            <w:hideMark/>
          </w:tcPr>
          <w:p w14:paraId="254F6654" w14:textId="77777777" w:rsidR="00B5223F" w:rsidRPr="00073924" w:rsidRDefault="00B5223F" w:rsidP="00517D38">
            <w:pPr>
              <w:widowControl/>
              <w:rPr>
                <w:b/>
                <w:bCs/>
                <w:color w:val="000000"/>
                <w:szCs w:val="22"/>
                <w:lang w:eastAsia="zh-CN"/>
              </w:rPr>
            </w:pPr>
            <w:r w:rsidRPr="00073924">
              <w:rPr>
                <w:b/>
                <w:bCs/>
                <w:color w:val="000000"/>
                <w:szCs w:val="22"/>
                <w:lang w:eastAsia="zh-CN"/>
              </w:rPr>
              <w:t>Years Included</w:t>
            </w:r>
          </w:p>
        </w:tc>
        <w:tc>
          <w:tcPr>
            <w:tcW w:w="1277" w:type="dxa"/>
            <w:shd w:val="clear" w:color="auto" w:fill="auto"/>
            <w:noWrap/>
            <w:vAlign w:val="center"/>
            <w:hideMark/>
          </w:tcPr>
          <w:p w14:paraId="7215791B" w14:textId="77777777" w:rsidR="00B5223F" w:rsidRPr="00073924" w:rsidRDefault="00B5223F" w:rsidP="00517D38">
            <w:pPr>
              <w:widowControl/>
              <w:rPr>
                <w:b/>
                <w:bCs/>
                <w:color w:val="000000"/>
                <w:szCs w:val="22"/>
                <w:lang w:eastAsia="zh-CN"/>
              </w:rPr>
            </w:pPr>
            <w:r w:rsidRPr="00073924">
              <w:rPr>
                <w:b/>
                <w:bCs/>
                <w:color w:val="000000"/>
                <w:szCs w:val="22"/>
                <w:lang w:eastAsia="zh-CN"/>
              </w:rPr>
              <w:t>Fee</w:t>
            </w:r>
          </w:p>
        </w:tc>
      </w:tr>
      <w:tr w:rsidR="00B5223F" w:rsidRPr="00073924" w14:paraId="11E85755" w14:textId="77777777" w:rsidTr="00517D38">
        <w:tc>
          <w:tcPr>
            <w:tcW w:w="1620" w:type="dxa"/>
            <w:shd w:val="clear" w:color="auto" w:fill="auto"/>
            <w:noWrap/>
            <w:hideMark/>
          </w:tcPr>
          <w:p w14:paraId="2CA1FCFA" w14:textId="6E1A379F" w:rsidR="00B5223F" w:rsidRPr="00073924" w:rsidRDefault="00B5223F" w:rsidP="00517D38">
            <w:pPr>
              <w:widowControl/>
              <w:rPr>
                <w:color w:val="000000"/>
                <w:szCs w:val="22"/>
                <w:lang w:eastAsia="zh-CN"/>
              </w:rPr>
            </w:pPr>
          </w:p>
        </w:tc>
        <w:tc>
          <w:tcPr>
            <w:tcW w:w="3870" w:type="dxa"/>
            <w:shd w:val="clear" w:color="auto" w:fill="auto"/>
            <w:noWrap/>
            <w:vAlign w:val="center"/>
            <w:hideMark/>
          </w:tcPr>
          <w:p w14:paraId="5D72DD2F" w14:textId="77777777" w:rsidR="00B5223F" w:rsidRPr="00073924" w:rsidRDefault="00B5223F" w:rsidP="00517D38">
            <w:pPr>
              <w:widowControl/>
              <w:rPr>
                <w:color w:val="000000"/>
                <w:szCs w:val="22"/>
                <w:lang w:eastAsia="zh-CN"/>
              </w:rPr>
            </w:pPr>
            <w:r w:rsidRPr="00073924">
              <w:rPr>
                <w:color w:val="000000"/>
                <w:szCs w:val="22"/>
                <w:lang w:eastAsia="zh-CN"/>
              </w:rPr>
              <w:t> </w:t>
            </w:r>
          </w:p>
        </w:tc>
        <w:tc>
          <w:tcPr>
            <w:tcW w:w="1370" w:type="dxa"/>
            <w:shd w:val="clear" w:color="auto" w:fill="auto"/>
            <w:noWrap/>
            <w:vAlign w:val="center"/>
            <w:hideMark/>
          </w:tcPr>
          <w:p w14:paraId="1A9C302A" w14:textId="77777777" w:rsidR="00B5223F" w:rsidRPr="00073924" w:rsidRDefault="00B5223F" w:rsidP="00517D38">
            <w:pPr>
              <w:widowControl/>
              <w:rPr>
                <w:color w:val="000000"/>
                <w:szCs w:val="22"/>
                <w:lang w:eastAsia="zh-CN"/>
              </w:rPr>
            </w:pPr>
            <w:r w:rsidRPr="00073924">
              <w:rPr>
                <w:color w:val="000000"/>
                <w:szCs w:val="22"/>
                <w:lang w:eastAsia="zh-CN"/>
              </w:rPr>
              <w:t> </w:t>
            </w:r>
          </w:p>
        </w:tc>
        <w:tc>
          <w:tcPr>
            <w:tcW w:w="1362" w:type="dxa"/>
            <w:shd w:val="clear" w:color="auto" w:fill="auto"/>
            <w:noWrap/>
            <w:vAlign w:val="center"/>
            <w:hideMark/>
          </w:tcPr>
          <w:p w14:paraId="74F077CC" w14:textId="77777777" w:rsidR="00B5223F" w:rsidRPr="00073924" w:rsidRDefault="00B5223F" w:rsidP="00517D38">
            <w:pPr>
              <w:widowControl/>
              <w:rPr>
                <w:color w:val="000000"/>
                <w:szCs w:val="22"/>
                <w:lang w:eastAsia="zh-CN"/>
              </w:rPr>
            </w:pPr>
            <w:r w:rsidRPr="00073924">
              <w:rPr>
                <w:color w:val="000000"/>
                <w:szCs w:val="22"/>
                <w:lang w:eastAsia="zh-CN"/>
              </w:rPr>
              <w:t> </w:t>
            </w:r>
          </w:p>
        </w:tc>
        <w:tc>
          <w:tcPr>
            <w:tcW w:w="1277" w:type="dxa"/>
            <w:shd w:val="clear" w:color="auto" w:fill="auto"/>
            <w:noWrap/>
            <w:vAlign w:val="center"/>
            <w:hideMark/>
          </w:tcPr>
          <w:p w14:paraId="4830C452" w14:textId="77777777" w:rsidR="00B5223F" w:rsidRPr="00073924" w:rsidRDefault="00B5223F" w:rsidP="00517D38">
            <w:pPr>
              <w:widowControl/>
              <w:rPr>
                <w:color w:val="000000"/>
                <w:szCs w:val="22"/>
                <w:lang w:eastAsia="zh-CN"/>
              </w:rPr>
            </w:pPr>
            <w:r w:rsidRPr="00073924">
              <w:rPr>
                <w:color w:val="000000"/>
                <w:szCs w:val="22"/>
                <w:lang w:eastAsia="zh-CN"/>
              </w:rPr>
              <w:t> </w:t>
            </w:r>
          </w:p>
        </w:tc>
      </w:tr>
      <w:tr w:rsidR="00B5223F" w:rsidRPr="00073924" w14:paraId="01B99968" w14:textId="77777777" w:rsidTr="00073924">
        <w:tc>
          <w:tcPr>
            <w:tcW w:w="5490" w:type="dxa"/>
            <w:gridSpan w:val="2"/>
            <w:shd w:val="clear" w:color="auto" w:fill="auto"/>
            <w:noWrap/>
            <w:vAlign w:val="center"/>
          </w:tcPr>
          <w:p w14:paraId="5BE86467" w14:textId="77777777" w:rsidR="00B5223F" w:rsidRPr="00073924" w:rsidRDefault="00B5223F" w:rsidP="00517D38">
            <w:pPr>
              <w:widowControl/>
              <w:jc w:val="right"/>
              <w:rPr>
                <w:b/>
                <w:bCs/>
                <w:color w:val="000000"/>
                <w:szCs w:val="22"/>
                <w:lang w:eastAsia="zh-CN"/>
              </w:rPr>
            </w:pPr>
            <w:r w:rsidRPr="00073924">
              <w:rPr>
                <w:b/>
                <w:bCs/>
                <w:color w:val="000000"/>
                <w:szCs w:val="22"/>
                <w:lang w:eastAsia="zh-CN"/>
              </w:rPr>
              <w:t>Total</w:t>
            </w:r>
          </w:p>
        </w:tc>
        <w:tc>
          <w:tcPr>
            <w:tcW w:w="4009" w:type="dxa"/>
            <w:gridSpan w:val="3"/>
            <w:shd w:val="clear" w:color="auto" w:fill="auto"/>
            <w:noWrap/>
            <w:vAlign w:val="center"/>
          </w:tcPr>
          <w:p w14:paraId="7D60B2D5" w14:textId="250F70F9" w:rsidR="00B5223F" w:rsidRPr="00073924" w:rsidRDefault="00B5223F" w:rsidP="00517D38">
            <w:pPr>
              <w:widowControl/>
              <w:rPr>
                <w:b/>
                <w:bCs/>
                <w:color w:val="000000"/>
                <w:szCs w:val="22"/>
                <w:lang w:eastAsia="zh-CN"/>
              </w:rPr>
            </w:pPr>
          </w:p>
        </w:tc>
      </w:tr>
    </w:tbl>
    <w:p w14:paraId="483EE05B" w14:textId="77777777" w:rsidR="00B5223F" w:rsidRPr="00073924" w:rsidRDefault="00B5223F" w:rsidP="00517D38"/>
    <w:p w14:paraId="2F31D808" w14:textId="77777777" w:rsidR="00B5223F" w:rsidRPr="00073924" w:rsidRDefault="00B5223F" w:rsidP="00517D38">
      <w:pPr>
        <w:pStyle w:val="ListParagraph"/>
        <w:keepNext/>
        <w:keepLines/>
        <w:numPr>
          <w:ilvl w:val="0"/>
          <w:numId w:val="14"/>
        </w:numPr>
        <w:spacing w:after="0" w:line="240" w:lineRule="auto"/>
        <w:rPr>
          <w:rFonts w:ascii="Times New Roman" w:hAnsi="Times New Roman"/>
        </w:rPr>
      </w:pPr>
      <w:r w:rsidRPr="00073924">
        <w:rPr>
          <w:rFonts w:ascii="Times New Roman" w:hAnsi="Times New Roman"/>
          <w:b/>
          <w:bCs/>
        </w:rPr>
        <w:t>Appendix Term:</w:t>
      </w:r>
      <w:r w:rsidRPr="00073924">
        <w:rPr>
          <w:rFonts w:ascii="Times New Roman" w:hAnsi="Times New Roman"/>
          <w:bCs/>
        </w:rPr>
        <w:t xml:space="preserve"> </w:t>
      </w:r>
      <w:r w:rsidRPr="00073924">
        <w:rPr>
          <w:rFonts w:ascii="Times New Roman" w:hAnsi="Times New Roman"/>
        </w:rPr>
        <w:t>_____ through _____.</w:t>
      </w:r>
    </w:p>
    <w:p w14:paraId="263974A3" w14:textId="77777777" w:rsidR="00B5223F" w:rsidRPr="00073924" w:rsidRDefault="00B5223F" w:rsidP="00517D38">
      <w:pPr>
        <w:pStyle w:val="ListParagraph"/>
        <w:keepNext/>
        <w:keepLines/>
        <w:numPr>
          <w:ilvl w:val="1"/>
          <w:numId w:val="14"/>
        </w:numPr>
        <w:spacing w:after="0" w:line="240" w:lineRule="auto"/>
        <w:rPr>
          <w:rFonts w:ascii="Times New Roman" w:hAnsi="Times New Roman"/>
        </w:rPr>
      </w:pPr>
      <w:r w:rsidRPr="00073924">
        <w:rPr>
          <w:rFonts w:ascii="Times New Roman" w:hAnsi="Times New Roman"/>
        </w:rPr>
        <w:t>During this period, the Customer may license additional products under this Appendix and the Agreement.</w:t>
      </w:r>
    </w:p>
    <w:p w14:paraId="053C60DE" w14:textId="2A37C476" w:rsidR="00B5223F" w:rsidRPr="00073924" w:rsidRDefault="00B5223F" w:rsidP="00517D38">
      <w:pPr>
        <w:pStyle w:val="ListParagraph"/>
        <w:keepNext/>
        <w:keepLines/>
        <w:numPr>
          <w:ilvl w:val="1"/>
          <w:numId w:val="14"/>
        </w:numPr>
        <w:spacing w:after="0" w:line="240" w:lineRule="auto"/>
        <w:rPr>
          <w:rFonts w:ascii="Times New Roman" w:hAnsi="Times New Roman"/>
        </w:rPr>
      </w:pPr>
      <w:r w:rsidRPr="00073924">
        <w:rPr>
          <w:rFonts w:ascii="Times New Roman" w:hAnsi="Times New Roman"/>
        </w:rPr>
        <w:t xml:space="preserve">The Appendix Term may never exceed the </w:t>
      </w:r>
      <w:r w:rsidR="00A947C5">
        <w:rPr>
          <w:rFonts w:ascii="Times New Roman" w:hAnsi="Times New Roman"/>
        </w:rPr>
        <w:t>T</w:t>
      </w:r>
      <w:r w:rsidRPr="00073924">
        <w:rPr>
          <w:rFonts w:ascii="Times New Roman" w:hAnsi="Times New Roman"/>
        </w:rPr>
        <w:t xml:space="preserve">erm of the Agreement as set forth </w:t>
      </w:r>
      <w:proofErr w:type="gramStart"/>
      <w:r w:rsidRPr="00073924">
        <w:rPr>
          <w:rFonts w:ascii="Times New Roman" w:hAnsi="Times New Roman"/>
        </w:rPr>
        <w:t xml:space="preserve">in  </w:t>
      </w:r>
      <w:r w:rsidR="00517D38" w:rsidRPr="00073924">
        <w:rPr>
          <w:rFonts w:ascii="Times New Roman" w:hAnsi="Times New Roman"/>
        </w:rPr>
        <w:t>Section</w:t>
      </w:r>
      <w:proofErr w:type="gramEnd"/>
      <w:r w:rsidR="00517D38" w:rsidRPr="00073924">
        <w:rPr>
          <w:rFonts w:ascii="Times New Roman" w:hAnsi="Times New Roman"/>
        </w:rPr>
        <w:t xml:space="preserve"> 7.1.</w:t>
      </w:r>
      <w:r w:rsidRPr="00073924">
        <w:rPr>
          <w:rFonts w:ascii="Times New Roman" w:hAnsi="Times New Roman"/>
        </w:rPr>
        <w:t xml:space="preserve"> of the Agreement.</w:t>
      </w:r>
    </w:p>
    <w:p w14:paraId="785CDB58" w14:textId="77777777" w:rsidR="00561DEC" w:rsidRPr="00073924" w:rsidRDefault="00561DEC" w:rsidP="00517D38">
      <w:pPr>
        <w:tabs>
          <w:tab w:val="left" w:pos="720"/>
          <w:tab w:val="left" w:pos="5040"/>
          <w:tab w:val="left" w:pos="5760"/>
        </w:tabs>
        <w:rPr>
          <w:szCs w:val="22"/>
        </w:rPr>
      </w:pPr>
    </w:p>
    <w:p w14:paraId="1D57AFBD" w14:textId="77777777" w:rsidR="00561DEC" w:rsidRPr="00073924" w:rsidRDefault="00561DEC" w:rsidP="00517D38">
      <w:pPr>
        <w:rPr>
          <w:szCs w:val="22"/>
        </w:rPr>
      </w:pPr>
    </w:p>
    <w:p w14:paraId="1F8DCCA4" w14:textId="5AF38032" w:rsidR="005322E9" w:rsidRPr="00073924" w:rsidRDefault="59F5AD4D" w:rsidP="00517D38">
      <w:pPr>
        <w:pStyle w:val="Heading1"/>
      </w:pPr>
      <w:r w:rsidRPr="00073924">
        <w:rPr>
          <w:szCs w:val="22"/>
        </w:rPr>
        <w:br w:type="page"/>
      </w:r>
      <w:r w:rsidR="005322E9" w:rsidRPr="00073924">
        <w:lastRenderedPageBreak/>
        <w:t xml:space="preserve">APPENDIX </w:t>
      </w:r>
      <w:r w:rsidR="003B2DC9" w:rsidRPr="00073924">
        <w:t>K</w:t>
      </w:r>
      <w:r w:rsidR="00A71B84" w:rsidRPr="00073924">
        <w:t>:</w:t>
      </w:r>
      <w:r w:rsidR="005322E9" w:rsidRPr="00073924">
        <w:t xml:space="preserve"> </w:t>
      </w:r>
      <w:r w:rsidR="00B95ADB" w:rsidRPr="00073924">
        <w:t xml:space="preserve">ANTHROSOURCE </w:t>
      </w:r>
    </w:p>
    <w:p w14:paraId="1DF082D3" w14:textId="77777777" w:rsidR="005322E9" w:rsidRPr="00073924" w:rsidRDefault="0078399B" w:rsidP="00517D38">
      <w:pPr>
        <w:rPr>
          <w:szCs w:val="22"/>
        </w:rPr>
      </w:pPr>
      <w:r w:rsidRPr="00073924">
        <w:rPr>
          <w:szCs w:val="22"/>
        </w:rPr>
        <w:t>Customer:</w:t>
      </w:r>
      <w:r w:rsidR="00B70D35" w:rsidRPr="00073924">
        <w:rPr>
          <w:szCs w:val="22"/>
        </w:rPr>
        <w:t xml:space="preserve"> </w:t>
      </w:r>
    </w:p>
    <w:p w14:paraId="2ED7AAED" w14:textId="77777777" w:rsidR="00555289" w:rsidRPr="00073924" w:rsidRDefault="00555289" w:rsidP="00517D38">
      <w:pPr>
        <w:autoSpaceDE w:val="0"/>
        <w:autoSpaceDN w:val="0"/>
        <w:adjustRightInd w:val="0"/>
        <w:rPr>
          <w:szCs w:val="22"/>
        </w:rPr>
      </w:pPr>
    </w:p>
    <w:p w14:paraId="22C50A82" w14:textId="77777777" w:rsidR="00773C35" w:rsidRPr="00073924" w:rsidRDefault="00773C35" w:rsidP="00517D38">
      <w:pPr>
        <w:rPr>
          <w:szCs w:val="22"/>
        </w:rPr>
      </w:pPr>
      <w:r w:rsidRPr="00073924">
        <w:rPr>
          <w:szCs w:val="22"/>
        </w:rPr>
        <w:t xml:space="preserve">The </w:t>
      </w:r>
      <w:r w:rsidR="00741570" w:rsidRPr="00073924">
        <w:rPr>
          <w:szCs w:val="22"/>
        </w:rPr>
        <w:t>Licensed</w:t>
      </w:r>
      <w:r w:rsidR="006159F7" w:rsidRPr="00073924">
        <w:rPr>
          <w:szCs w:val="22"/>
        </w:rPr>
        <w:t xml:space="preserve"> </w:t>
      </w:r>
      <w:proofErr w:type="spellStart"/>
      <w:r w:rsidR="006159F7" w:rsidRPr="00073924">
        <w:rPr>
          <w:szCs w:val="22"/>
        </w:rPr>
        <w:t>AnthroSource</w:t>
      </w:r>
      <w:proofErr w:type="spellEnd"/>
      <w:r w:rsidR="006159F7" w:rsidRPr="00073924">
        <w:rPr>
          <w:szCs w:val="22"/>
        </w:rPr>
        <w:t xml:space="preserve"> Collection </w:t>
      </w:r>
      <w:r w:rsidRPr="00073924">
        <w:rPr>
          <w:szCs w:val="22"/>
        </w:rPr>
        <w:t xml:space="preserve">is the electronic editions of Wiley journal content published in the years designated as part of the </w:t>
      </w:r>
      <w:proofErr w:type="spellStart"/>
      <w:r w:rsidRPr="00073924">
        <w:rPr>
          <w:szCs w:val="22"/>
        </w:rPr>
        <w:t>AnthroSource</w:t>
      </w:r>
      <w:proofErr w:type="spellEnd"/>
      <w:r w:rsidRPr="00073924">
        <w:rPr>
          <w:szCs w:val="22"/>
        </w:rPr>
        <w:t xml:space="preserve"> package to which the </w:t>
      </w:r>
      <w:r w:rsidR="009977FF" w:rsidRPr="00073924">
        <w:rPr>
          <w:szCs w:val="22"/>
        </w:rPr>
        <w:t>Customer</w:t>
      </w:r>
      <w:r w:rsidRPr="00073924">
        <w:rPr>
          <w:szCs w:val="22"/>
        </w:rPr>
        <w:t xml:space="preserve"> has access under this </w:t>
      </w:r>
      <w:r w:rsidR="009977FF" w:rsidRPr="00073924">
        <w:rPr>
          <w:szCs w:val="22"/>
        </w:rPr>
        <w:t>Agreement</w:t>
      </w:r>
      <w:r w:rsidRPr="00073924">
        <w:rPr>
          <w:szCs w:val="22"/>
        </w:rPr>
        <w:t xml:space="preserve">, and for which the </w:t>
      </w:r>
      <w:r w:rsidR="009977FF" w:rsidRPr="00073924">
        <w:rPr>
          <w:szCs w:val="22"/>
        </w:rPr>
        <w:t>Customer</w:t>
      </w:r>
      <w:r w:rsidRPr="00073924">
        <w:rPr>
          <w:szCs w:val="22"/>
        </w:rPr>
        <w:t xml:space="preserve"> has paid the full rate institutional subscription fee. The content includes tables of content, abstracts, full text and illustrations and any additional electronic journal content not included in the print versions of the journals.</w:t>
      </w:r>
    </w:p>
    <w:p w14:paraId="7C30F0D8" w14:textId="77777777" w:rsidR="00773C35" w:rsidRPr="00073924" w:rsidRDefault="00773C35" w:rsidP="00517D38">
      <w:pPr>
        <w:rPr>
          <w:szCs w:val="22"/>
        </w:rPr>
      </w:pPr>
    </w:p>
    <w:p w14:paraId="7C948394" w14:textId="77777777" w:rsidR="00773C35" w:rsidRPr="00073924" w:rsidRDefault="00773C35" w:rsidP="00517D38">
      <w:pPr>
        <w:pStyle w:val="ListParagraph"/>
        <w:keepNext/>
        <w:keepLines/>
        <w:numPr>
          <w:ilvl w:val="0"/>
          <w:numId w:val="17"/>
        </w:numPr>
        <w:spacing w:after="0" w:line="240" w:lineRule="auto"/>
        <w:rPr>
          <w:rFonts w:ascii="Times New Roman" w:hAnsi="Times New Roman"/>
        </w:rPr>
      </w:pPr>
      <w:r w:rsidRPr="00073924">
        <w:rPr>
          <w:rFonts w:ascii="Times New Roman" w:hAnsi="Times New Roman"/>
          <w:b/>
        </w:rPr>
        <w:t>Access:</w:t>
      </w:r>
      <w:r w:rsidR="0099654B" w:rsidRPr="00073924">
        <w:rPr>
          <w:rFonts w:ascii="Times New Roman" w:hAnsi="Times New Roman"/>
          <w:b/>
        </w:rPr>
        <w:t xml:space="preserve"> </w:t>
      </w:r>
      <w:r w:rsidRPr="00073924">
        <w:rPr>
          <w:rFonts w:ascii="Times New Roman" w:hAnsi="Times New Roman"/>
        </w:rPr>
        <w:t xml:space="preserve">During the term of this </w:t>
      </w:r>
      <w:r w:rsidR="009977FF" w:rsidRPr="00073924">
        <w:rPr>
          <w:rFonts w:ascii="Times New Roman" w:hAnsi="Times New Roman"/>
        </w:rPr>
        <w:t>Agreement</w:t>
      </w:r>
      <w:r w:rsidRPr="00073924">
        <w:rPr>
          <w:rFonts w:ascii="Times New Roman" w:hAnsi="Times New Roman"/>
        </w:rPr>
        <w:t xml:space="preserve">, Wiley will provide the </w:t>
      </w:r>
      <w:r w:rsidR="009977FF" w:rsidRPr="00073924">
        <w:rPr>
          <w:rFonts w:ascii="Times New Roman" w:hAnsi="Times New Roman"/>
        </w:rPr>
        <w:t>Customer</w:t>
      </w:r>
      <w:r w:rsidRPr="00073924">
        <w:rPr>
          <w:rFonts w:ascii="Times New Roman" w:hAnsi="Times New Roman"/>
        </w:rPr>
        <w:t xml:space="preserve"> with access to current content published during the </w:t>
      </w:r>
      <w:r w:rsidR="009977FF" w:rsidRPr="00073924">
        <w:rPr>
          <w:rFonts w:ascii="Times New Roman" w:hAnsi="Times New Roman"/>
        </w:rPr>
        <w:t>Agreement</w:t>
      </w:r>
      <w:r w:rsidRPr="00073924">
        <w:rPr>
          <w:rFonts w:ascii="Times New Roman" w:hAnsi="Times New Roman"/>
        </w:rPr>
        <w:t xml:space="preserve"> term in the </w:t>
      </w:r>
      <w:r w:rsidR="00741570" w:rsidRPr="00073924">
        <w:rPr>
          <w:rFonts w:ascii="Times New Roman" w:hAnsi="Times New Roman"/>
        </w:rPr>
        <w:t>Licensed</w:t>
      </w:r>
      <w:r w:rsidRPr="00073924">
        <w:rPr>
          <w:rFonts w:ascii="Times New Roman" w:hAnsi="Times New Roman"/>
        </w:rPr>
        <w:t xml:space="preserve"> </w:t>
      </w:r>
      <w:proofErr w:type="spellStart"/>
      <w:r w:rsidRPr="00073924">
        <w:rPr>
          <w:rFonts w:ascii="Times New Roman" w:hAnsi="Times New Roman"/>
        </w:rPr>
        <w:t>AnthroSource</w:t>
      </w:r>
      <w:proofErr w:type="spellEnd"/>
      <w:r w:rsidRPr="00073924">
        <w:rPr>
          <w:rFonts w:ascii="Times New Roman" w:hAnsi="Times New Roman"/>
        </w:rPr>
        <w:t xml:space="preserve"> Collection and retrospective content</w:t>
      </w:r>
      <w:r w:rsidRPr="00073924">
        <w:rPr>
          <w:rFonts w:ascii="Times New Roman" w:hAnsi="Times New Roman"/>
          <w:b/>
        </w:rPr>
        <w:t xml:space="preserve"> </w:t>
      </w:r>
      <w:r w:rsidRPr="00073924">
        <w:rPr>
          <w:rFonts w:ascii="Times New Roman" w:hAnsi="Times New Roman"/>
        </w:rPr>
        <w:t>back to Volume 1, Issue 1.</w:t>
      </w:r>
    </w:p>
    <w:p w14:paraId="6888C15F" w14:textId="77777777" w:rsidR="00773C35" w:rsidRPr="00073924" w:rsidRDefault="00773C35" w:rsidP="00517D38">
      <w:pPr>
        <w:keepNext/>
        <w:keepLines/>
        <w:rPr>
          <w:b/>
          <w:szCs w:val="22"/>
        </w:rPr>
      </w:pPr>
    </w:p>
    <w:p w14:paraId="616F360C" w14:textId="77777777" w:rsidR="00773C35" w:rsidRPr="00073924" w:rsidRDefault="00773C35" w:rsidP="00517D38">
      <w:pPr>
        <w:pStyle w:val="ListParagraph"/>
        <w:keepNext/>
        <w:keepLines/>
        <w:numPr>
          <w:ilvl w:val="0"/>
          <w:numId w:val="17"/>
        </w:numPr>
        <w:spacing w:after="0" w:line="240" w:lineRule="auto"/>
        <w:rPr>
          <w:rFonts w:ascii="Times New Roman" w:hAnsi="Times New Roman"/>
        </w:rPr>
      </w:pPr>
      <w:r w:rsidRPr="00073924">
        <w:rPr>
          <w:rFonts w:ascii="Times New Roman" w:hAnsi="Times New Roman"/>
          <w:b/>
        </w:rPr>
        <w:t xml:space="preserve">Perpetual Access: </w:t>
      </w:r>
      <w:r w:rsidRPr="00073924">
        <w:rPr>
          <w:rFonts w:ascii="Times New Roman" w:hAnsi="Times New Roman"/>
        </w:rPr>
        <w:t xml:space="preserve">Upon termination of this Agreement, Wiley will provide the Customer with perpetual access to current content published during the Agreement term in the Licensed </w:t>
      </w:r>
      <w:proofErr w:type="spellStart"/>
      <w:r w:rsidRPr="00073924">
        <w:rPr>
          <w:rFonts w:ascii="Times New Roman" w:hAnsi="Times New Roman"/>
        </w:rPr>
        <w:t>AnthroSource</w:t>
      </w:r>
      <w:proofErr w:type="spellEnd"/>
      <w:r w:rsidRPr="00073924">
        <w:rPr>
          <w:rFonts w:ascii="Times New Roman" w:hAnsi="Times New Roman"/>
        </w:rPr>
        <w:t xml:space="preserve"> Collection and retrospective content, generally back to 1997, depending on the start date of online publishing by Wiley, where Wiley has the rights to deliver this. </w:t>
      </w:r>
    </w:p>
    <w:p w14:paraId="027950B7" w14:textId="77777777" w:rsidR="00773C35" w:rsidRPr="00073924" w:rsidRDefault="00773C35" w:rsidP="00517D38">
      <w:pPr>
        <w:rPr>
          <w:szCs w:val="22"/>
        </w:rPr>
      </w:pPr>
    </w:p>
    <w:p w14:paraId="031A349B" w14:textId="77777777" w:rsidR="00986586" w:rsidRPr="00073924" w:rsidRDefault="00773C35" w:rsidP="00517D38">
      <w:pPr>
        <w:pStyle w:val="ListParagraph"/>
        <w:numPr>
          <w:ilvl w:val="0"/>
          <w:numId w:val="17"/>
        </w:numPr>
        <w:spacing w:after="0" w:line="240" w:lineRule="auto"/>
        <w:rPr>
          <w:rFonts w:ascii="Times New Roman" w:hAnsi="Times New Roman"/>
        </w:rPr>
      </w:pPr>
      <w:r w:rsidRPr="00073924">
        <w:rPr>
          <w:rFonts w:ascii="Times New Roman" w:hAnsi="Times New Roman"/>
          <w:b/>
        </w:rPr>
        <w:t>Subscription Maintenance:</w:t>
      </w:r>
      <w:r w:rsidRPr="00073924">
        <w:rPr>
          <w:rFonts w:ascii="Times New Roman" w:hAnsi="Times New Roman"/>
        </w:rPr>
        <w:t xml:space="preserve"> During the term of this Agreement, the </w:t>
      </w:r>
      <w:r w:rsidR="009977FF" w:rsidRPr="00073924">
        <w:rPr>
          <w:rFonts w:ascii="Times New Roman" w:hAnsi="Times New Roman"/>
        </w:rPr>
        <w:t>Customer</w:t>
      </w:r>
      <w:r w:rsidRPr="00073924">
        <w:rPr>
          <w:rFonts w:ascii="Times New Roman" w:hAnsi="Times New Roman"/>
        </w:rPr>
        <w:t xml:space="preserve"> agrees to maintain the institutional subscription to the </w:t>
      </w:r>
      <w:proofErr w:type="spellStart"/>
      <w:r w:rsidRPr="00073924">
        <w:rPr>
          <w:rFonts w:ascii="Times New Roman" w:hAnsi="Times New Roman"/>
        </w:rPr>
        <w:t>AnthroSource</w:t>
      </w:r>
      <w:proofErr w:type="spellEnd"/>
      <w:r w:rsidRPr="00073924">
        <w:rPr>
          <w:rFonts w:ascii="Times New Roman" w:hAnsi="Times New Roman"/>
        </w:rPr>
        <w:t xml:space="preserve"> Collection as set forth below.</w:t>
      </w:r>
    </w:p>
    <w:p w14:paraId="1F60D3AA" w14:textId="77777777" w:rsidR="00986586" w:rsidRPr="00073924" w:rsidRDefault="00986586" w:rsidP="00517D38">
      <w:pPr>
        <w:pStyle w:val="ListParagraph"/>
        <w:numPr>
          <w:ilvl w:val="1"/>
          <w:numId w:val="17"/>
        </w:numPr>
        <w:autoSpaceDE w:val="0"/>
        <w:autoSpaceDN w:val="0"/>
        <w:adjustRightInd w:val="0"/>
        <w:spacing w:after="0" w:line="240" w:lineRule="auto"/>
        <w:rPr>
          <w:rFonts w:ascii="Times New Roman" w:hAnsi="Times New Roman"/>
        </w:rPr>
      </w:pPr>
      <w:r w:rsidRPr="00073924">
        <w:rPr>
          <w:rFonts w:ascii="Times New Roman" w:hAnsi="Times New Roman"/>
          <w:b/>
        </w:rPr>
        <w:t>Fee Increase Cap</w:t>
      </w:r>
      <w:r w:rsidRPr="00073924">
        <w:rPr>
          <w:rFonts w:ascii="Times New Roman" w:hAnsi="Times New Roman"/>
        </w:rPr>
        <w:t>: ___%.</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680"/>
      </w:tblGrid>
      <w:tr w:rsidR="000643B7" w:rsidRPr="00073924" w14:paraId="2E044A40" w14:textId="77777777" w:rsidTr="00F91C36">
        <w:tc>
          <w:tcPr>
            <w:tcW w:w="9270" w:type="dxa"/>
            <w:gridSpan w:val="2"/>
            <w:shd w:val="clear" w:color="auto" w:fill="auto"/>
            <w:vAlign w:val="center"/>
          </w:tcPr>
          <w:p w14:paraId="60A4D174" w14:textId="77777777" w:rsidR="000643B7" w:rsidRPr="00073924" w:rsidRDefault="000643B7" w:rsidP="00517D38">
            <w:pPr>
              <w:jc w:val="center"/>
              <w:rPr>
                <w:b/>
                <w:bCs/>
                <w:sz w:val="20"/>
              </w:rPr>
            </w:pPr>
            <w:r w:rsidRPr="00073924">
              <w:rPr>
                <w:b/>
                <w:bCs/>
                <w:sz w:val="20"/>
              </w:rPr>
              <w:t>Titles Included</w:t>
            </w:r>
          </w:p>
        </w:tc>
      </w:tr>
      <w:tr w:rsidR="000643B7" w:rsidRPr="00073924" w14:paraId="3F823A9B" w14:textId="77777777" w:rsidTr="00F91C36">
        <w:tc>
          <w:tcPr>
            <w:tcW w:w="4590" w:type="dxa"/>
            <w:shd w:val="clear" w:color="auto" w:fill="auto"/>
            <w:vAlign w:val="center"/>
          </w:tcPr>
          <w:p w14:paraId="75A13D6F" w14:textId="77777777" w:rsidR="000643B7" w:rsidRPr="00073924" w:rsidRDefault="000643B7" w:rsidP="00517D38">
            <w:pPr>
              <w:rPr>
                <w:sz w:val="20"/>
              </w:rPr>
            </w:pPr>
            <w:r w:rsidRPr="00073924">
              <w:rPr>
                <w:sz w:val="20"/>
              </w:rPr>
              <w:t xml:space="preserve">American Anthropologist </w:t>
            </w:r>
          </w:p>
        </w:tc>
        <w:tc>
          <w:tcPr>
            <w:tcW w:w="4680" w:type="dxa"/>
            <w:shd w:val="clear" w:color="auto" w:fill="auto"/>
            <w:vAlign w:val="center"/>
          </w:tcPr>
          <w:p w14:paraId="45BEB067" w14:textId="77777777" w:rsidR="000643B7" w:rsidRPr="00073924" w:rsidRDefault="000643B7" w:rsidP="00517D38">
            <w:pPr>
              <w:rPr>
                <w:sz w:val="20"/>
              </w:rPr>
            </w:pPr>
            <w:r w:rsidRPr="00073924">
              <w:rPr>
                <w:sz w:val="20"/>
              </w:rPr>
              <w:t>Ethnographic Praxis in Industry Conference Proceedings</w:t>
            </w:r>
          </w:p>
        </w:tc>
      </w:tr>
      <w:tr w:rsidR="000643B7" w:rsidRPr="00073924" w14:paraId="55378D8A" w14:textId="77777777" w:rsidTr="00F91C36">
        <w:tc>
          <w:tcPr>
            <w:tcW w:w="4590" w:type="dxa"/>
            <w:shd w:val="clear" w:color="auto" w:fill="auto"/>
            <w:vAlign w:val="center"/>
          </w:tcPr>
          <w:p w14:paraId="020F2853" w14:textId="77777777" w:rsidR="000643B7" w:rsidRPr="00073924" w:rsidRDefault="000643B7" w:rsidP="00517D38">
            <w:pPr>
              <w:rPr>
                <w:sz w:val="20"/>
              </w:rPr>
            </w:pPr>
            <w:r w:rsidRPr="00073924">
              <w:rPr>
                <w:sz w:val="20"/>
              </w:rPr>
              <w:t xml:space="preserve">American Ethnologist </w:t>
            </w:r>
          </w:p>
        </w:tc>
        <w:tc>
          <w:tcPr>
            <w:tcW w:w="4680" w:type="dxa"/>
            <w:shd w:val="clear" w:color="auto" w:fill="auto"/>
            <w:vAlign w:val="center"/>
          </w:tcPr>
          <w:p w14:paraId="1A8AADBB" w14:textId="77777777" w:rsidR="000643B7" w:rsidRPr="00073924" w:rsidRDefault="000643B7" w:rsidP="00517D38">
            <w:pPr>
              <w:rPr>
                <w:sz w:val="20"/>
              </w:rPr>
            </w:pPr>
            <w:r w:rsidRPr="00073924">
              <w:rPr>
                <w:sz w:val="20"/>
              </w:rPr>
              <w:t xml:space="preserve">Ethos </w:t>
            </w:r>
          </w:p>
        </w:tc>
      </w:tr>
      <w:tr w:rsidR="000643B7" w:rsidRPr="00073924" w14:paraId="2DE894B0" w14:textId="77777777" w:rsidTr="00F91C36">
        <w:tc>
          <w:tcPr>
            <w:tcW w:w="4590" w:type="dxa"/>
            <w:shd w:val="clear" w:color="auto" w:fill="auto"/>
            <w:vAlign w:val="center"/>
          </w:tcPr>
          <w:p w14:paraId="4F3DD73A" w14:textId="77777777" w:rsidR="000643B7" w:rsidRPr="00073924" w:rsidRDefault="000643B7" w:rsidP="00517D38">
            <w:pPr>
              <w:rPr>
                <w:sz w:val="20"/>
              </w:rPr>
            </w:pPr>
            <w:r w:rsidRPr="00073924">
              <w:rPr>
                <w:sz w:val="20"/>
              </w:rPr>
              <w:t xml:space="preserve">Annals of Anthropological Practice </w:t>
            </w:r>
          </w:p>
          <w:p w14:paraId="12769BB9" w14:textId="77777777" w:rsidR="000643B7" w:rsidRPr="00073924" w:rsidRDefault="000643B7" w:rsidP="00517D38">
            <w:pPr>
              <w:rPr>
                <w:sz w:val="20"/>
              </w:rPr>
            </w:pPr>
            <w:r w:rsidRPr="00073924">
              <w:rPr>
                <w:sz w:val="20"/>
              </w:rPr>
              <w:t>(</w:t>
            </w:r>
            <w:proofErr w:type="gramStart"/>
            <w:r w:rsidRPr="00073924">
              <w:rPr>
                <w:sz w:val="20"/>
              </w:rPr>
              <w:t>formerly</w:t>
            </w:r>
            <w:proofErr w:type="gramEnd"/>
            <w:r w:rsidRPr="00073924">
              <w:rPr>
                <w:sz w:val="20"/>
              </w:rPr>
              <w:t xml:space="preserve"> NAPA Bulletin)</w:t>
            </w:r>
          </w:p>
        </w:tc>
        <w:tc>
          <w:tcPr>
            <w:tcW w:w="4680" w:type="dxa"/>
            <w:shd w:val="clear" w:color="auto" w:fill="auto"/>
            <w:vAlign w:val="center"/>
          </w:tcPr>
          <w:p w14:paraId="6B40BEE7" w14:textId="77777777" w:rsidR="000643B7" w:rsidRPr="00073924" w:rsidRDefault="000643B7" w:rsidP="00517D38">
            <w:pPr>
              <w:rPr>
                <w:sz w:val="20"/>
              </w:rPr>
            </w:pPr>
            <w:r w:rsidRPr="00073924">
              <w:rPr>
                <w:sz w:val="20"/>
              </w:rPr>
              <w:t xml:space="preserve">General Anthropology Bulletin of the General Anthropology Division </w:t>
            </w:r>
          </w:p>
        </w:tc>
      </w:tr>
      <w:tr w:rsidR="000643B7" w:rsidRPr="00073924" w14:paraId="5E89C745" w14:textId="77777777" w:rsidTr="00F91C36">
        <w:tc>
          <w:tcPr>
            <w:tcW w:w="4590" w:type="dxa"/>
            <w:shd w:val="clear" w:color="auto" w:fill="auto"/>
            <w:vAlign w:val="center"/>
          </w:tcPr>
          <w:p w14:paraId="4E9CE5A6" w14:textId="77777777" w:rsidR="000643B7" w:rsidRPr="00073924" w:rsidRDefault="000643B7" w:rsidP="00517D38">
            <w:pPr>
              <w:rPr>
                <w:sz w:val="20"/>
              </w:rPr>
            </w:pPr>
            <w:r w:rsidRPr="00073924">
              <w:rPr>
                <w:sz w:val="20"/>
              </w:rPr>
              <w:t xml:space="preserve">Anthropology &amp; Education Quarterly </w:t>
            </w:r>
          </w:p>
        </w:tc>
        <w:tc>
          <w:tcPr>
            <w:tcW w:w="4680" w:type="dxa"/>
            <w:shd w:val="clear" w:color="auto" w:fill="auto"/>
            <w:vAlign w:val="center"/>
          </w:tcPr>
          <w:p w14:paraId="7422F69B" w14:textId="77777777" w:rsidR="000643B7" w:rsidRPr="00073924" w:rsidRDefault="000643B7" w:rsidP="00517D38">
            <w:pPr>
              <w:rPr>
                <w:sz w:val="20"/>
              </w:rPr>
            </w:pPr>
            <w:r w:rsidRPr="00073924">
              <w:rPr>
                <w:sz w:val="20"/>
              </w:rPr>
              <w:t xml:space="preserve">Journal for the Anthropology of North America </w:t>
            </w:r>
          </w:p>
          <w:p w14:paraId="7C5B8853" w14:textId="77777777" w:rsidR="000643B7" w:rsidRPr="00073924" w:rsidRDefault="000643B7" w:rsidP="00517D38">
            <w:pPr>
              <w:rPr>
                <w:sz w:val="20"/>
              </w:rPr>
            </w:pPr>
            <w:r w:rsidRPr="00073924">
              <w:rPr>
                <w:sz w:val="20"/>
              </w:rPr>
              <w:t>(</w:t>
            </w:r>
            <w:proofErr w:type="gramStart"/>
            <w:r w:rsidRPr="00073924">
              <w:rPr>
                <w:sz w:val="20"/>
              </w:rPr>
              <w:t>formerly</w:t>
            </w:r>
            <w:proofErr w:type="gramEnd"/>
            <w:r w:rsidRPr="00073924">
              <w:rPr>
                <w:sz w:val="20"/>
              </w:rPr>
              <w:t xml:space="preserve"> North American Dialogue)</w:t>
            </w:r>
          </w:p>
        </w:tc>
      </w:tr>
      <w:tr w:rsidR="000643B7" w:rsidRPr="00073924" w14:paraId="75358909" w14:textId="77777777" w:rsidTr="00F91C36">
        <w:tc>
          <w:tcPr>
            <w:tcW w:w="4590" w:type="dxa"/>
            <w:shd w:val="clear" w:color="auto" w:fill="auto"/>
            <w:vAlign w:val="center"/>
          </w:tcPr>
          <w:p w14:paraId="66AE8A4A" w14:textId="77777777" w:rsidR="000643B7" w:rsidRPr="00073924" w:rsidRDefault="000643B7" w:rsidP="00517D38">
            <w:pPr>
              <w:rPr>
                <w:sz w:val="20"/>
              </w:rPr>
            </w:pPr>
            <w:r w:rsidRPr="00073924">
              <w:rPr>
                <w:sz w:val="20"/>
              </w:rPr>
              <w:t xml:space="preserve">Anthropology &amp; Humanism </w:t>
            </w:r>
          </w:p>
        </w:tc>
        <w:tc>
          <w:tcPr>
            <w:tcW w:w="4680" w:type="dxa"/>
            <w:shd w:val="clear" w:color="auto" w:fill="auto"/>
            <w:vAlign w:val="center"/>
          </w:tcPr>
          <w:p w14:paraId="50FC2C1F" w14:textId="77777777" w:rsidR="000643B7" w:rsidRPr="00073924" w:rsidRDefault="000643B7" w:rsidP="00517D38">
            <w:pPr>
              <w:rPr>
                <w:sz w:val="20"/>
              </w:rPr>
            </w:pPr>
            <w:r w:rsidRPr="00073924">
              <w:rPr>
                <w:sz w:val="20"/>
              </w:rPr>
              <w:t xml:space="preserve">Journal of Latin American and Caribbean Anthropology </w:t>
            </w:r>
          </w:p>
        </w:tc>
      </w:tr>
      <w:tr w:rsidR="000643B7" w:rsidRPr="00073924" w14:paraId="7C4538D2" w14:textId="77777777" w:rsidTr="00F91C36">
        <w:tc>
          <w:tcPr>
            <w:tcW w:w="4590" w:type="dxa"/>
            <w:shd w:val="clear" w:color="auto" w:fill="auto"/>
            <w:vAlign w:val="center"/>
          </w:tcPr>
          <w:p w14:paraId="21D70E11" w14:textId="77777777" w:rsidR="000643B7" w:rsidRPr="00073924" w:rsidRDefault="000643B7" w:rsidP="00517D38">
            <w:pPr>
              <w:rPr>
                <w:sz w:val="20"/>
              </w:rPr>
            </w:pPr>
            <w:r w:rsidRPr="00073924">
              <w:rPr>
                <w:sz w:val="20"/>
              </w:rPr>
              <w:t xml:space="preserve">Anthropology News </w:t>
            </w:r>
          </w:p>
        </w:tc>
        <w:tc>
          <w:tcPr>
            <w:tcW w:w="4680" w:type="dxa"/>
            <w:shd w:val="clear" w:color="auto" w:fill="auto"/>
            <w:vAlign w:val="center"/>
          </w:tcPr>
          <w:p w14:paraId="524355F3" w14:textId="77777777" w:rsidR="000643B7" w:rsidRPr="00073924" w:rsidRDefault="000643B7" w:rsidP="00517D38">
            <w:pPr>
              <w:rPr>
                <w:sz w:val="20"/>
              </w:rPr>
            </w:pPr>
            <w:r w:rsidRPr="00073924">
              <w:rPr>
                <w:sz w:val="20"/>
              </w:rPr>
              <w:t xml:space="preserve">Journal of Linguistic Anthropology </w:t>
            </w:r>
          </w:p>
        </w:tc>
      </w:tr>
      <w:tr w:rsidR="000643B7" w:rsidRPr="00073924" w14:paraId="2BA9AA63" w14:textId="77777777" w:rsidTr="00F91C36">
        <w:tc>
          <w:tcPr>
            <w:tcW w:w="4590" w:type="dxa"/>
            <w:shd w:val="clear" w:color="auto" w:fill="auto"/>
            <w:vAlign w:val="center"/>
          </w:tcPr>
          <w:p w14:paraId="06A1BF90" w14:textId="77777777" w:rsidR="000643B7" w:rsidRPr="00073924" w:rsidRDefault="000643B7" w:rsidP="00517D38">
            <w:pPr>
              <w:rPr>
                <w:sz w:val="20"/>
              </w:rPr>
            </w:pPr>
            <w:r w:rsidRPr="00073924">
              <w:rPr>
                <w:sz w:val="20"/>
              </w:rPr>
              <w:t xml:space="preserve">Anthropology of Consciousness </w:t>
            </w:r>
          </w:p>
        </w:tc>
        <w:tc>
          <w:tcPr>
            <w:tcW w:w="4680" w:type="dxa"/>
            <w:shd w:val="clear" w:color="auto" w:fill="auto"/>
            <w:vAlign w:val="center"/>
          </w:tcPr>
          <w:p w14:paraId="063EA0C0" w14:textId="77777777" w:rsidR="000643B7" w:rsidRPr="00073924" w:rsidRDefault="000643B7" w:rsidP="00517D38">
            <w:pPr>
              <w:rPr>
                <w:sz w:val="20"/>
              </w:rPr>
            </w:pPr>
            <w:r w:rsidRPr="00073924">
              <w:rPr>
                <w:sz w:val="20"/>
              </w:rPr>
              <w:t xml:space="preserve">Journal of the Society for the Anthropology of Europe </w:t>
            </w:r>
          </w:p>
        </w:tc>
      </w:tr>
      <w:tr w:rsidR="000643B7" w:rsidRPr="00073924" w14:paraId="2644482B" w14:textId="77777777" w:rsidTr="00F91C36">
        <w:tc>
          <w:tcPr>
            <w:tcW w:w="4590" w:type="dxa"/>
            <w:shd w:val="clear" w:color="auto" w:fill="auto"/>
            <w:vAlign w:val="center"/>
          </w:tcPr>
          <w:p w14:paraId="26FA5A21" w14:textId="77777777" w:rsidR="000643B7" w:rsidRPr="00073924" w:rsidRDefault="000643B7" w:rsidP="00517D38">
            <w:pPr>
              <w:rPr>
                <w:sz w:val="20"/>
              </w:rPr>
            </w:pPr>
            <w:r w:rsidRPr="00073924">
              <w:rPr>
                <w:sz w:val="20"/>
              </w:rPr>
              <w:t xml:space="preserve">Anthropology of Work Review </w:t>
            </w:r>
          </w:p>
        </w:tc>
        <w:tc>
          <w:tcPr>
            <w:tcW w:w="4680" w:type="dxa"/>
            <w:shd w:val="clear" w:color="auto" w:fill="auto"/>
            <w:vAlign w:val="center"/>
          </w:tcPr>
          <w:p w14:paraId="6D60665F" w14:textId="77777777" w:rsidR="000643B7" w:rsidRPr="00073924" w:rsidRDefault="000643B7" w:rsidP="00517D38">
            <w:pPr>
              <w:rPr>
                <w:sz w:val="20"/>
              </w:rPr>
            </w:pPr>
            <w:r w:rsidRPr="00073924">
              <w:rPr>
                <w:sz w:val="20"/>
              </w:rPr>
              <w:t xml:space="preserve">Medical Anthropology Quarterly </w:t>
            </w:r>
          </w:p>
        </w:tc>
      </w:tr>
      <w:tr w:rsidR="000643B7" w:rsidRPr="00073924" w14:paraId="16DA6C2C" w14:textId="77777777" w:rsidTr="00F91C36">
        <w:tc>
          <w:tcPr>
            <w:tcW w:w="4590" w:type="dxa"/>
            <w:shd w:val="clear" w:color="auto" w:fill="auto"/>
            <w:vAlign w:val="center"/>
          </w:tcPr>
          <w:p w14:paraId="249164A0" w14:textId="77777777" w:rsidR="000643B7" w:rsidRPr="00073924" w:rsidRDefault="000643B7" w:rsidP="00517D38">
            <w:pPr>
              <w:rPr>
                <w:sz w:val="20"/>
              </w:rPr>
            </w:pPr>
            <w:r w:rsidRPr="00073924">
              <w:rPr>
                <w:sz w:val="20"/>
              </w:rPr>
              <w:t xml:space="preserve">Archeological Papers of the American Anthropological Association </w:t>
            </w:r>
          </w:p>
        </w:tc>
        <w:tc>
          <w:tcPr>
            <w:tcW w:w="4680" w:type="dxa"/>
            <w:shd w:val="clear" w:color="auto" w:fill="auto"/>
            <w:vAlign w:val="center"/>
          </w:tcPr>
          <w:p w14:paraId="78CE2124" w14:textId="77777777" w:rsidR="000643B7" w:rsidRPr="00073924" w:rsidRDefault="000643B7" w:rsidP="00517D38">
            <w:pPr>
              <w:rPr>
                <w:sz w:val="20"/>
              </w:rPr>
            </w:pPr>
            <w:r w:rsidRPr="00073924">
              <w:rPr>
                <w:sz w:val="20"/>
              </w:rPr>
              <w:t xml:space="preserve">Museum Anthropology </w:t>
            </w:r>
          </w:p>
        </w:tc>
      </w:tr>
      <w:tr w:rsidR="000643B7" w:rsidRPr="00073924" w14:paraId="68312BA9" w14:textId="77777777" w:rsidTr="00F91C36">
        <w:tc>
          <w:tcPr>
            <w:tcW w:w="4590" w:type="dxa"/>
            <w:shd w:val="clear" w:color="auto" w:fill="auto"/>
            <w:vAlign w:val="center"/>
          </w:tcPr>
          <w:p w14:paraId="5474A4D5" w14:textId="77777777" w:rsidR="000643B7" w:rsidRPr="00073924" w:rsidRDefault="000643B7" w:rsidP="00517D38">
            <w:pPr>
              <w:rPr>
                <w:sz w:val="20"/>
              </w:rPr>
            </w:pPr>
            <w:r w:rsidRPr="00073924">
              <w:rPr>
                <w:sz w:val="20"/>
              </w:rPr>
              <w:t xml:space="preserve">Bulletin of the National Association of Student Anthropologists </w:t>
            </w:r>
          </w:p>
        </w:tc>
        <w:tc>
          <w:tcPr>
            <w:tcW w:w="4680" w:type="dxa"/>
            <w:shd w:val="clear" w:color="auto" w:fill="auto"/>
            <w:vAlign w:val="center"/>
          </w:tcPr>
          <w:p w14:paraId="19E458D9" w14:textId="77777777" w:rsidR="000643B7" w:rsidRPr="00073924" w:rsidRDefault="000643B7" w:rsidP="00517D38">
            <w:pPr>
              <w:rPr>
                <w:sz w:val="20"/>
              </w:rPr>
            </w:pPr>
            <w:r w:rsidRPr="00073924">
              <w:rPr>
                <w:sz w:val="20"/>
              </w:rPr>
              <w:t xml:space="preserve">Nutritional Anthropology </w:t>
            </w:r>
          </w:p>
        </w:tc>
      </w:tr>
      <w:tr w:rsidR="000643B7" w:rsidRPr="00073924" w14:paraId="05827893" w14:textId="77777777" w:rsidTr="00F91C36">
        <w:tc>
          <w:tcPr>
            <w:tcW w:w="4590" w:type="dxa"/>
            <w:shd w:val="clear" w:color="auto" w:fill="auto"/>
            <w:vAlign w:val="center"/>
          </w:tcPr>
          <w:p w14:paraId="4164E064" w14:textId="77777777" w:rsidR="000643B7" w:rsidRPr="00073924" w:rsidRDefault="000643B7" w:rsidP="00517D38">
            <w:pPr>
              <w:rPr>
                <w:sz w:val="20"/>
              </w:rPr>
            </w:pPr>
            <w:r w:rsidRPr="00073924">
              <w:rPr>
                <w:sz w:val="20"/>
              </w:rPr>
              <w:t xml:space="preserve">Central Issues in Anthropology </w:t>
            </w:r>
          </w:p>
        </w:tc>
        <w:tc>
          <w:tcPr>
            <w:tcW w:w="4680" w:type="dxa"/>
            <w:shd w:val="clear" w:color="auto" w:fill="auto"/>
            <w:vAlign w:val="center"/>
          </w:tcPr>
          <w:p w14:paraId="560128AE" w14:textId="77777777" w:rsidR="000643B7" w:rsidRPr="00073924" w:rsidRDefault="000643B7" w:rsidP="00517D38">
            <w:pPr>
              <w:rPr>
                <w:sz w:val="20"/>
              </w:rPr>
            </w:pPr>
            <w:proofErr w:type="spellStart"/>
            <w:r w:rsidRPr="00073924">
              <w:rPr>
                <w:sz w:val="20"/>
              </w:rPr>
              <w:t>PoLAR</w:t>
            </w:r>
            <w:proofErr w:type="spellEnd"/>
            <w:r w:rsidRPr="00073924">
              <w:rPr>
                <w:sz w:val="20"/>
              </w:rPr>
              <w:t xml:space="preserve">: Political and Legal Anthropology Review </w:t>
            </w:r>
          </w:p>
        </w:tc>
      </w:tr>
      <w:tr w:rsidR="000643B7" w:rsidRPr="00073924" w14:paraId="0DE56663" w14:textId="77777777" w:rsidTr="00F91C36">
        <w:tc>
          <w:tcPr>
            <w:tcW w:w="4590" w:type="dxa"/>
            <w:shd w:val="clear" w:color="auto" w:fill="auto"/>
            <w:vAlign w:val="center"/>
          </w:tcPr>
          <w:p w14:paraId="79585F50" w14:textId="77777777" w:rsidR="000643B7" w:rsidRPr="00073924" w:rsidRDefault="000643B7" w:rsidP="00517D38">
            <w:pPr>
              <w:rPr>
                <w:sz w:val="20"/>
              </w:rPr>
            </w:pPr>
            <w:r w:rsidRPr="00073924">
              <w:rPr>
                <w:sz w:val="20"/>
              </w:rPr>
              <w:t xml:space="preserve">City &amp; Society </w:t>
            </w:r>
          </w:p>
        </w:tc>
        <w:tc>
          <w:tcPr>
            <w:tcW w:w="4680" w:type="dxa"/>
            <w:shd w:val="clear" w:color="auto" w:fill="auto"/>
            <w:vAlign w:val="center"/>
          </w:tcPr>
          <w:p w14:paraId="4E4D7DF1" w14:textId="77777777" w:rsidR="000643B7" w:rsidRPr="00073924" w:rsidRDefault="000643B7" w:rsidP="00517D38">
            <w:pPr>
              <w:rPr>
                <w:sz w:val="20"/>
              </w:rPr>
            </w:pPr>
            <w:r w:rsidRPr="00073924">
              <w:rPr>
                <w:sz w:val="20"/>
              </w:rPr>
              <w:t>Proceedings of the African Futures Conference</w:t>
            </w:r>
          </w:p>
        </w:tc>
      </w:tr>
      <w:tr w:rsidR="000643B7" w:rsidRPr="00073924" w14:paraId="793B4DC5" w14:textId="77777777" w:rsidTr="00F91C36">
        <w:tc>
          <w:tcPr>
            <w:tcW w:w="4590" w:type="dxa"/>
            <w:shd w:val="clear" w:color="auto" w:fill="auto"/>
            <w:vAlign w:val="center"/>
          </w:tcPr>
          <w:p w14:paraId="3495A3A8" w14:textId="77777777" w:rsidR="000643B7" w:rsidRPr="00073924" w:rsidRDefault="000643B7" w:rsidP="00517D38">
            <w:pPr>
              <w:rPr>
                <w:sz w:val="20"/>
              </w:rPr>
            </w:pPr>
            <w:r w:rsidRPr="00073924">
              <w:rPr>
                <w:sz w:val="20"/>
              </w:rPr>
              <w:t xml:space="preserve">CSAS Bulletin Central States Anthropological Society </w:t>
            </w:r>
          </w:p>
        </w:tc>
        <w:tc>
          <w:tcPr>
            <w:tcW w:w="4680" w:type="dxa"/>
            <w:shd w:val="clear" w:color="auto" w:fill="auto"/>
            <w:vAlign w:val="center"/>
          </w:tcPr>
          <w:p w14:paraId="6BB426A4" w14:textId="77777777" w:rsidR="000643B7" w:rsidRPr="00073924" w:rsidRDefault="000643B7" w:rsidP="00517D38">
            <w:pPr>
              <w:rPr>
                <w:sz w:val="20"/>
              </w:rPr>
            </w:pPr>
            <w:r w:rsidRPr="00073924">
              <w:rPr>
                <w:sz w:val="20"/>
              </w:rPr>
              <w:t xml:space="preserve">SOLGAN </w:t>
            </w:r>
          </w:p>
        </w:tc>
      </w:tr>
      <w:tr w:rsidR="000643B7" w:rsidRPr="00073924" w14:paraId="1FFD9E51" w14:textId="77777777" w:rsidTr="00F91C36">
        <w:tc>
          <w:tcPr>
            <w:tcW w:w="4590" w:type="dxa"/>
            <w:shd w:val="clear" w:color="auto" w:fill="auto"/>
            <w:vAlign w:val="center"/>
          </w:tcPr>
          <w:p w14:paraId="732389DB" w14:textId="77777777" w:rsidR="000643B7" w:rsidRPr="00073924" w:rsidRDefault="000643B7" w:rsidP="00517D38">
            <w:pPr>
              <w:rPr>
                <w:sz w:val="20"/>
              </w:rPr>
            </w:pPr>
            <w:r w:rsidRPr="00073924">
              <w:rPr>
                <w:sz w:val="20"/>
              </w:rPr>
              <w:t xml:space="preserve">Cultural Anthropology </w:t>
            </w:r>
          </w:p>
        </w:tc>
        <w:tc>
          <w:tcPr>
            <w:tcW w:w="4680" w:type="dxa"/>
            <w:shd w:val="clear" w:color="auto" w:fill="auto"/>
            <w:vAlign w:val="center"/>
          </w:tcPr>
          <w:p w14:paraId="356C8A2D" w14:textId="77777777" w:rsidR="000643B7" w:rsidRPr="00073924" w:rsidRDefault="000643B7" w:rsidP="00517D38">
            <w:pPr>
              <w:rPr>
                <w:sz w:val="20"/>
              </w:rPr>
            </w:pPr>
            <w:r w:rsidRPr="00073924">
              <w:rPr>
                <w:sz w:val="20"/>
              </w:rPr>
              <w:t xml:space="preserve">Teaching Anthropology: Society for Anthropology in Community Colleges Notes </w:t>
            </w:r>
          </w:p>
        </w:tc>
      </w:tr>
      <w:tr w:rsidR="000643B7" w:rsidRPr="00073924" w14:paraId="1A42D31C" w14:textId="77777777" w:rsidTr="00F91C36">
        <w:tc>
          <w:tcPr>
            <w:tcW w:w="4590" w:type="dxa"/>
            <w:shd w:val="clear" w:color="auto" w:fill="auto"/>
            <w:vAlign w:val="center"/>
          </w:tcPr>
          <w:p w14:paraId="5FAF4538" w14:textId="77777777" w:rsidR="000643B7" w:rsidRPr="00073924" w:rsidRDefault="000643B7" w:rsidP="00517D38">
            <w:pPr>
              <w:rPr>
                <w:sz w:val="20"/>
              </w:rPr>
            </w:pPr>
            <w:r w:rsidRPr="00073924">
              <w:rPr>
                <w:sz w:val="20"/>
              </w:rPr>
              <w:t xml:space="preserve">Culture, Agriculture, Food and Environment </w:t>
            </w:r>
          </w:p>
        </w:tc>
        <w:tc>
          <w:tcPr>
            <w:tcW w:w="4680" w:type="dxa"/>
            <w:shd w:val="clear" w:color="auto" w:fill="auto"/>
            <w:vAlign w:val="center"/>
          </w:tcPr>
          <w:p w14:paraId="61FF4D3C" w14:textId="77777777" w:rsidR="000643B7" w:rsidRPr="00073924" w:rsidRDefault="000643B7" w:rsidP="00517D38">
            <w:pPr>
              <w:rPr>
                <w:sz w:val="20"/>
              </w:rPr>
            </w:pPr>
            <w:r w:rsidRPr="00073924">
              <w:rPr>
                <w:sz w:val="20"/>
              </w:rPr>
              <w:t xml:space="preserve">Transforming Anthropology </w:t>
            </w:r>
          </w:p>
        </w:tc>
      </w:tr>
      <w:tr w:rsidR="000643B7" w:rsidRPr="00073924" w14:paraId="13A9FD7A" w14:textId="77777777" w:rsidTr="00F91C36">
        <w:tc>
          <w:tcPr>
            <w:tcW w:w="4590" w:type="dxa"/>
            <w:shd w:val="clear" w:color="auto" w:fill="auto"/>
            <w:vAlign w:val="center"/>
          </w:tcPr>
          <w:p w14:paraId="10A9AA9F" w14:textId="77777777" w:rsidR="000643B7" w:rsidRPr="00073924" w:rsidRDefault="000643B7" w:rsidP="00517D38">
            <w:pPr>
              <w:rPr>
                <w:sz w:val="20"/>
              </w:rPr>
            </w:pPr>
            <w:r w:rsidRPr="00073924">
              <w:rPr>
                <w:sz w:val="20"/>
              </w:rPr>
              <w:t>Economic Anthropology</w:t>
            </w:r>
          </w:p>
        </w:tc>
        <w:tc>
          <w:tcPr>
            <w:tcW w:w="4680" w:type="dxa"/>
            <w:shd w:val="clear" w:color="auto" w:fill="auto"/>
            <w:vAlign w:val="center"/>
          </w:tcPr>
          <w:p w14:paraId="58035A3F" w14:textId="77777777" w:rsidR="000643B7" w:rsidRPr="00073924" w:rsidRDefault="000643B7" w:rsidP="00517D38">
            <w:pPr>
              <w:rPr>
                <w:sz w:val="20"/>
              </w:rPr>
            </w:pPr>
            <w:r w:rsidRPr="00073924">
              <w:rPr>
                <w:sz w:val="20"/>
              </w:rPr>
              <w:t xml:space="preserve">Visual Anthropology Review </w:t>
            </w:r>
          </w:p>
        </w:tc>
      </w:tr>
      <w:tr w:rsidR="000643B7" w:rsidRPr="00073924" w14:paraId="2C399D56" w14:textId="77777777" w:rsidTr="00F91C36">
        <w:tc>
          <w:tcPr>
            <w:tcW w:w="4590" w:type="dxa"/>
            <w:shd w:val="clear" w:color="auto" w:fill="auto"/>
            <w:vAlign w:val="center"/>
          </w:tcPr>
          <w:p w14:paraId="7B6DFBF2" w14:textId="77777777" w:rsidR="000643B7" w:rsidRPr="00073924" w:rsidRDefault="000643B7" w:rsidP="00517D38">
            <w:pPr>
              <w:rPr>
                <w:sz w:val="20"/>
              </w:rPr>
            </w:pPr>
            <w:r w:rsidRPr="00073924">
              <w:rPr>
                <w:sz w:val="20"/>
              </w:rPr>
              <w:t xml:space="preserve">El </w:t>
            </w:r>
            <w:proofErr w:type="spellStart"/>
            <w:r w:rsidRPr="00073924">
              <w:rPr>
                <w:sz w:val="20"/>
              </w:rPr>
              <w:t>Mensajero</w:t>
            </w:r>
            <w:proofErr w:type="spellEnd"/>
            <w:r w:rsidRPr="00073924">
              <w:rPr>
                <w:sz w:val="20"/>
              </w:rPr>
              <w:t xml:space="preserve"> </w:t>
            </w:r>
          </w:p>
        </w:tc>
        <w:tc>
          <w:tcPr>
            <w:tcW w:w="4680" w:type="dxa"/>
            <w:shd w:val="clear" w:color="auto" w:fill="auto"/>
            <w:vAlign w:val="center"/>
          </w:tcPr>
          <w:p w14:paraId="45676FD2" w14:textId="77777777" w:rsidR="000643B7" w:rsidRPr="00073924" w:rsidRDefault="000643B7" w:rsidP="00517D38">
            <w:pPr>
              <w:rPr>
                <w:sz w:val="20"/>
              </w:rPr>
            </w:pPr>
            <w:r w:rsidRPr="00073924">
              <w:rPr>
                <w:sz w:val="20"/>
              </w:rPr>
              <w:t xml:space="preserve">Voices </w:t>
            </w:r>
          </w:p>
        </w:tc>
      </w:tr>
      <w:tr w:rsidR="000643B7" w:rsidRPr="00073924" w14:paraId="2A048C28" w14:textId="77777777" w:rsidTr="00F91C36">
        <w:trPr>
          <w:trHeight w:val="467"/>
        </w:trPr>
        <w:tc>
          <w:tcPr>
            <w:tcW w:w="9270" w:type="dxa"/>
            <w:gridSpan w:val="2"/>
            <w:shd w:val="clear" w:color="auto" w:fill="auto"/>
            <w:vAlign w:val="center"/>
          </w:tcPr>
          <w:p w14:paraId="3955C21C" w14:textId="77777777" w:rsidR="000643B7" w:rsidRPr="00073924" w:rsidRDefault="00AF7AE3" w:rsidP="00517D38">
            <w:pPr>
              <w:rPr>
                <w:sz w:val="20"/>
              </w:rPr>
            </w:pPr>
            <w:r w:rsidRPr="00073924">
              <w:rPr>
                <w:b/>
                <w:bCs/>
                <w:sz w:val="20"/>
              </w:rPr>
              <w:t xml:space="preserve">Total </w:t>
            </w:r>
            <w:r w:rsidR="000643B7" w:rsidRPr="00073924">
              <w:rPr>
                <w:b/>
                <w:bCs/>
                <w:sz w:val="20"/>
              </w:rPr>
              <w:t>Fee:</w:t>
            </w:r>
          </w:p>
        </w:tc>
      </w:tr>
    </w:tbl>
    <w:p w14:paraId="0B81A829" w14:textId="77777777" w:rsidR="00773C35" w:rsidRPr="00073924" w:rsidRDefault="00773C35" w:rsidP="00517D38">
      <w:pPr>
        <w:tabs>
          <w:tab w:val="left" w:pos="720"/>
          <w:tab w:val="left" w:pos="5040"/>
          <w:tab w:val="left" w:pos="5760"/>
        </w:tabs>
        <w:rPr>
          <w:b/>
          <w:szCs w:val="22"/>
        </w:rPr>
      </w:pPr>
    </w:p>
    <w:p w14:paraId="081CE744" w14:textId="77777777" w:rsidR="00AF7AE3" w:rsidRPr="00073924" w:rsidRDefault="00AF7AE3" w:rsidP="00517D38">
      <w:pPr>
        <w:pStyle w:val="ListParagraph"/>
        <w:keepNext/>
        <w:keepLines/>
        <w:numPr>
          <w:ilvl w:val="0"/>
          <w:numId w:val="17"/>
        </w:numPr>
        <w:spacing w:after="0" w:line="240" w:lineRule="auto"/>
        <w:rPr>
          <w:rFonts w:ascii="Times New Roman" w:hAnsi="Times New Roman"/>
        </w:rPr>
      </w:pPr>
      <w:r w:rsidRPr="00073924">
        <w:rPr>
          <w:rFonts w:ascii="Times New Roman" w:hAnsi="Times New Roman"/>
          <w:b/>
          <w:bCs/>
        </w:rPr>
        <w:t>Appendix Term:</w:t>
      </w:r>
      <w:r w:rsidRPr="00073924">
        <w:rPr>
          <w:rFonts w:ascii="Times New Roman" w:hAnsi="Times New Roman"/>
          <w:bCs/>
        </w:rPr>
        <w:t xml:space="preserve"> </w:t>
      </w:r>
      <w:r w:rsidRPr="00073924">
        <w:rPr>
          <w:rFonts w:ascii="Times New Roman" w:hAnsi="Times New Roman"/>
        </w:rPr>
        <w:t>_____ through _____.</w:t>
      </w:r>
    </w:p>
    <w:p w14:paraId="57E0E249" w14:textId="10FE1A5D" w:rsidR="00AF7AE3" w:rsidRPr="00073924" w:rsidRDefault="00AF7AE3" w:rsidP="00517D38">
      <w:pPr>
        <w:pStyle w:val="ListParagraph"/>
        <w:keepNext/>
        <w:keepLines/>
        <w:numPr>
          <w:ilvl w:val="1"/>
          <w:numId w:val="17"/>
        </w:numPr>
        <w:spacing w:after="0" w:line="240" w:lineRule="auto"/>
        <w:rPr>
          <w:rFonts w:ascii="Times New Roman" w:hAnsi="Times New Roman"/>
        </w:rPr>
      </w:pPr>
      <w:r w:rsidRPr="00073924">
        <w:rPr>
          <w:rFonts w:ascii="Times New Roman" w:hAnsi="Times New Roman"/>
        </w:rPr>
        <w:t xml:space="preserve">The Appendix Term may never exceed the </w:t>
      </w:r>
      <w:r w:rsidR="00A947C5">
        <w:rPr>
          <w:rFonts w:ascii="Times New Roman" w:hAnsi="Times New Roman"/>
        </w:rPr>
        <w:t>T</w:t>
      </w:r>
      <w:r w:rsidRPr="00073924">
        <w:rPr>
          <w:rFonts w:ascii="Times New Roman" w:hAnsi="Times New Roman"/>
        </w:rPr>
        <w:t xml:space="preserve">erm of the Agreement as set forth in </w:t>
      </w:r>
      <w:r w:rsidR="00517D38" w:rsidRPr="00073924">
        <w:rPr>
          <w:rFonts w:ascii="Times New Roman" w:hAnsi="Times New Roman"/>
        </w:rPr>
        <w:t xml:space="preserve">Section 7.1. </w:t>
      </w:r>
      <w:r w:rsidRPr="00073924">
        <w:rPr>
          <w:rFonts w:ascii="Times New Roman" w:hAnsi="Times New Roman"/>
        </w:rPr>
        <w:t>of the Agreement.</w:t>
      </w:r>
    </w:p>
    <w:p w14:paraId="6955E867" w14:textId="77777777" w:rsidR="00931EE9" w:rsidRPr="00073924" w:rsidRDefault="001D1415" w:rsidP="00517D38">
      <w:pPr>
        <w:pStyle w:val="Heading1"/>
      </w:pPr>
      <w:r w:rsidRPr="00073924">
        <w:rPr>
          <w:szCs w:val="22"/>
        </w:rPr>
        <w:br w:type="page"/>
      </w:r>
      <w:r w:rsidR="00931EE9" w:rsidRPr="00073924">
        <w:lastRenderedPageBreak/>
        <w:t>APPENDIX L</w:t>
      </w:r>
      <w:r w:rsidR="00A71B84" w:rsidRPr="00073924">
        <w:t>:</w:t>
      </w:r>
      <w:r w:rsidR="008F3763" w:rsidRPr="00073924">
        <w:t xml:space="preserve"> WILEY </w:t>
      </w:r>
      <w:r w:rsidR="00931EE9" w:rsidRPr="00073924">
        <w:t xml:space="preserve">DIGITAL ARCHIVES – </w:t>
      </w:r>
      <w:r w:rsidR="0086224B" w:rsidRPr="00073924">
        <w:t>One-Time license</w:t>
      </w:r>
    </w:p>
    <w:p w14:paraId="1FC1A81D" w14:textId="77777777" w:rsidR="00931EE9" w:rsidRPr="00073924" w:rsidRDefault="0078399B" w:rsidP="00517D38">
      <w:pPr>
        <w:rPr>
          <w:szCs w:val="22"/>
        </w:rPr>
      </w:pPr>
      <w:r w:rsidRPr="00073924">
        <w:rPr>
          <w:szCs w:val="22"/>
        </w:rPr>
        <w:t>Customer:</w:t>
      </w:r>
      <w:r w:rsidR="00B70D35" w:rsidRPr="00073924">
        <w:rPr>
          <w:szCs w:val="22"/>
        </w:rPr>
        <w:t xml:space="preserve"> </w:t>
      </w:r>
    </w:p>
    <w:p w14:paraId="635B1B34" w14:textId="77777777" w:rsidR="00931EE9" w:rsidRPr="00073924" w:rsidRDefault="00931EE9" w:rsidP="00517D38">
      <w:pPr>
        <w:rPr>
          <w:szCs w:val="22"/>
        </w:rPr>
      </w:pPr>
    </w:p>
    <w:p w14:paraId="392F7C59" w14:textId="14F996C2" w:rsidR="00931EE9" w:rsidRPr="00073924" w:rsidRDefault="00BB7222" w:rsidP="00517D38">
      <w:pPr>
        <w:pStyle w:val="BodyText"/>
        <w:widowControl/>
        <w:tabs>
          <w:tab w:val="clear" w:pos="1440"/>
        </w:tabs>
        <w:rPr>
          <w:sz w:val="22"/>
          <w:szCs w:val="22"/>
        </w:rPr>
      </w:pPr>
      <w:r w:rsidRPr="00073924">
        <w:rPr>
          <w:sz w:val="22"/>
          <w:szCs w:val="22"/>
        </w:rPr>
        <w:t xml:space="preserve">Wiley </w:t>
      </w:r>
      <w:r w:rsidR="00931EE9" w:rsidRPr="00073924">
        <w:rPr>
          <w:sz w:val="22"/>
          <w:szCs w:val="22"/>
        </w:rPr>
        <w:t>Digital Archives</w:t>
      </w:r>
      <w:r w:rsidR="00C63AA5">
        <w:rPr>
          <w:sz w:val="22"/>
          <w:szCs w:val="22"/>
        </w:rPr>
        <w:t xml:space="preserve"> (WDA)</w:t>
      </w:r>
      <w:r w:rsidR="00931EE9" w:rsidRPr="00073924">
        <w:rPr>
          <w:sz w:val="22"/>
          <w:szCs w:val="22"/>
        </w:rPr>
        <w:t xml:space="preserve"> are Wiley’s digitized collections of primary source content to which the </w:t>
      </w:r>
      <w:r w:rsidR="009977FF" w:rsidRPr="00073924">
        <w:rPr>
          <w:sz w:val="22"/>
          <w:szCs w:val="22"/>
        </w:rPr>
        <w:t>Customer</w:t>
      </w:r>
      <w:r w:rsidR="00931EE9" w:rsidRPr="00073924">
        <w:rPr>
          <w:sz w:val="22"/>
          <w:szCs w:val="22"/>
        </w:rPr>
        <w:t xml:space="preserve"> has access under this </w:t>
      </w:r>
      <w:r w:rsidR="009977FF" w:rsidRPr="00073924">
        <w:rPr>
          <w:sz w:val="22"/>
          <w:szCs w:val="22"/>
        </w:rPr>
        <w:t>Agreement</w:t>
      </w:r>
      <w:r w:rsidR="00931EE9" w:rsidRPr="00073924">
        <w:rPr>
          <w:sz w:val="22"/>
          <w:szCs w:val="22"/>
        </w:rPr>
        <w:t>.</w:t>
      </w:r>
      <w:r w:rsidR="00A7424A" w:rsidRPr="00073924">
        <w:rPr>
          <w:sz w:val="22"/>
          <w:szCs w:val="22"/>
        </w:rPr>
        <w:t xml:space="preserve"> </w:t>
      </w:r>
      <w:r w:rsidR="00931EE9" w:rsidRPr="00073924">
        <w:rPr>
          <w:sz w:val="22"/>
          <w:szCs w:val="22"/>
        </w:rPr>
        <w:t xml:space="preserve">They may include books, maps, manuscripts, journals, data, fieldwork, correspondence, photographs, illustrations, proceedings, papers, pamphlets, reports, newspapers, grey </w:t>
      </w:r>
      <w:proofErr w:type="gramStart"/>
      <w:r w:rsidR="00931EE9" w:rsidRPr="00073924">
        <w:rPr>
          <w:sz w:val="22"/>
          <w:szCs w:val="22"/>
        </w:rPr>
        <w:t>literature</w:t>
      </w:r>
      <w:proofErr w:type="gramEnd"/>
      <w:r w:rsidR="00931EE9" w:rsidRPr="00073924">
        <w:rPr>
          <w:sz w:val="22"/>
          <w:szCs w:val="22"/>
        </w:rPr>
        <w:t xml:space="preserve"> and ephemera. </w:t>
      </w:r>
    </w:p>
    <w:p w14:paraId="6DC22FBB" w14:textId="77777777" w:rsidR="00931EE9" w:rsidRPr="00073924" w:rsidRDefault="00931EE9" w:rsidP="00517D38">
      <w:pPr>
        <w:rPr>
          <w:szCs w:val="22"/>
        </w:rPr>
      </w:pPr>
    </w:p>
    <w:p w14:paraId="4DAE0B20" w14:textId="77777777" w:rsidR="00350488" w:rsidRPr="00073924" w:rsidRDefault="00350488" w:rsidP="00517D38">
      <w:pPr>
        <w:pStyle w:val="ProductAppendecisLevel1"/>
        <w:numPr>
          <w:ilvl w:val="0"/>
          <w:numId w:val="18"/>
        </w:numPr>
        <w:rPr>
          <w:rFonts w:cs="Times New Roman"/>
          <w:lang w:val="en-US"/>
        </w:rPr>
      </w:pPr>
      <w:r w:rsidRPr="00073924">
        <w:rPr>
          <w:rFonts w:cs="Times New Roman"/>
          <w:b/>
          <w:bCs/>
          <w:lang w:val="en-US"/>
        </w:rPr>
        <w:t xml:space="preserve">Access: </w:t>
      </w:r>
      <w:r w:rsidRPr="00073924">
        <w:rPr>
          <w:rFonts w:cs="Times New Roman"/>
          <w:lang w:val="en-US"/>
        </w:rPr>
        <w:t xml:space="preserve">A One-Time license will entitle the Customer to the </w:t>
      </w:r>
      <w:r w:rsidR="00BB7222" w:rsidRPr="00073924">
        <w:rPr>
          <w:rFonts w:cs="Times New Roman"/>
          <w:lang w:val="en-US"/>
        </w:rPr>
        <w:t xml:space="preserve">Wiley </w:t>
      </w:r>
      <w:r w:rsidRPr="00073924">
        <w:rPr>
          <w:rFonts w:cs="Times New Roman"/>
          <w:lang w:val="en-US"/>
        </w:rPr>
        <w:t>Digital Archives that are available during the license term. It will also include all material added or updated during that term.</w:t>
      </w:r>
    </w:p>
    <w:p w14:paraId="28ED9D93" w14:textId="77777777" w:rsidR="00517D38" w:rsidRPr="00073924" w:rsidRDefault="00517D38" w:rsidP="00517D38">
      <w:pPr>
        <w:pStyle w:val="ProductAppendecisLevel1"/>
        <w:numPr>
          <w:ilvl w:val="1"/>
          <w:numId w:val="18"/>
        </w:numPr>
        <w:rPr>
          <w:rFonts w:cs="Times New Roman"/>
          <w:lang w:val="en-US"/>
        </w:rPr>
      </w:pPr>
      <w:r w:rsidRPr="00073924">
        <w:rPr>
          <w:rFonts w:cs="Times New Roman"/>
          <w:lang w:val="en-US"/>
        </w:rPr>
        <w:t xml:space="preserve">Wiley currently provides access to the Wiley Digital Archives via the following URL </w:t>
      </w:r>
      <w:hyperlink r:id="rId12" w:history="1">
        <w:r w:rsidRPr="00073924">
          <w:rPr>
            <w:rStyle w:val="Hyperlink"/>
            <w:rFonts w:cs="Times New Roman"/>
            <w:lang w:val="en-US"/>
          </w:rPr>
          <w:t>http://www.wileydigitalarchives.com</w:t>
        </w:r>
      </w:hyperlink>
      <w:r w:rsidRPr="00073924">
        <w:rPr>
          <w:rFonts w:cs="Times New Roman"/>
          <w:lang w:val="en-US"/>
        </w:rPr>
        <w:t>. Wiley may change the URL at its sole discretion.</w:t>
      </w:r>
    </w:p>
    <w:p w14:paraId="3EC2C6CD" w14:textId="77777777" w:rsidR="00517D38" w:rsidRPr="00073924" w:rsidRDefault="00517D38" w:rsidP="00517D38"/>
    <w:p w14:paraId="51517B5E" w14:textId="77777777" w:rsidR="00517D38" w:rsidRPr="00073924" w:rsidRDefault="00517D38" w:rsidP="00517D38">
      <w:pPr>
        <w:pStyle w:val="ProductAppendecisLevel1"/>
        <w:numPr>
          <w:ilvl w:val="0"/>
          <w:numId w:val="18"/>
        </w:numPr>
        <w:rPr>
          <w:rFonts w:cs="Times New Roman"/>
          <w:lang w:val="en-US"/>
        </w:rPr>
      </w:pPr>
      <w:r w:rsidRPr="00073924">
        <w:rPr>
          <w:rFonts w:cs="Times New Roman"/>
          <w:b/>
          <w:lang w:val="en-US"/>
        </w:rPr>
        <w:t>Perpetual Access</w:t>
      </w:r>
      <w:r w:rsidRPr="00073924">
        <w:rPr>
          <w:rFonts w:cs="Times New Roman"/>
          <w:lang w:val="en-US"/>
        </w:rPr>
        <w:t>: Wiley will provide the Customer with perpetual access to the full text of the Wiley Digital Archives where Wiley has the rights to deliver this.</w:t>
      </w:r>
    </w:p>
    <w:p w14:paraId="3DF69745" w14:textId="77777777" w:rsidR="00517D38" w:rsidRPr="00073924" w:rsidRDefault="00517D38" w:rsidP="00517D38"/>
    <w:p w14:paraId="38160EE7" w14:textId="77777777" w:rsidR="00517D38" w:rsidRPr="00073924" w:rsidRDefault="00517D38" w:rsidP="00517D38">
      <w:pPr>
        <w:pStyle w:val="ProductAppendecisLevel1"/>
        <w:numPr>
          <w:ilvl w:val="0"/>
          <w:numId w:val="18"/>
        </w:numPr>
        <w:rPr>
          <w:rFonts w:cs="Times New Roman"/>
          <w:lang w:val="en-US"/>
        </w:rPr>
      </w:pPr>
      <w:r w:rsidRPr="00073924">
        <w:rPr>
          <w:rFonts w:cs="Times New Roman"/>
          <w:b/>
          <w:bCs/>
          <w:lang w:val="en-US"/>
        </w:rPr>
        <w:t xml:space="preserve">Fees: </w:t>
      </w:r>
      <w:r w:rsidRPr="00073924">
        <w:rPr>
          <w:rFonts w:cs="Times New Roman"/>
          <w:lang w:val="en-US"/>
        </w:rPr>
        <w:t>Wiley Digital Archives Fees will be calculated based on the Customer’s number of FTEs.</w:t>
      </w:r>
    </w:p>
    <w:p w14:paraId="41468FC8" w14:textId="77777777" w:rsidR="00517D38" w:rsidRPr="00073924" w:rsidRDefault="00517D38" w:rsidP="00517D38">
      <w:pPr>
        <w:pStyle w:val="ProductAppendecisLevel1"/>
        <w:numPr>
          <w:ilvl w:val="1"/>
          <w:numId w:val="18"/>
        </w:numPr>
        <w:rPr>
          <w:rFonts w:cs="Times New Roman"/>
          <w:lang w:val="en-US"/>
        </w:rPr>
      </w:pPr>
      <w:r w:rsidRPr="00073924">
        <w:rPr>
          <w:rFonts w:cs="Times New Roman"/>
          <w:lang w:val="en-US"/>
        </w:rPr>
        <w:t>The titles for the initial license are listed with fees below.</w:t>
      </w:r>
    </w:p>
    <w:tbl>
      <w:tblPr>
        <w:tblW w:w="949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870"/>
        <w:gridCol w:w="1370"/>
        <w:gridCol w:w="1362"/>
        <w:gridCol w:w="1277"/>
      </w:tblGrid>
      <w:tr w:rsidR="00517D38" w:rsidRPr="00073924" w14:paraId="17DEDB5E" w14:textId="77777777" w:rsidTr="00073924">
        <w:tc>
          <w:tcPr>
            <w:tcW w:w="1620" w:type="dxa"/>
            <w:shd w:val="clear" w:color="auto" w:fill="auto"/>
            <w:noWrap/>
            <w:vAlign w:val="center"/>
            <w:hideMark/>
          </w:tcPr>
          <w:p w14:paraId="4B06B9A8" w14:textId="77777777" w:rsidR="00517D38" w:rsidRPr="00073924" w:rsidRDefault="00517D38" w:rsidP="00517D38">
            <w:pPr>
              <w:rPr>
                <w:b/>
                <w:bCs/>
              </w:rPr>
            </w:pPr>
            <w:r w:rsidRPr="00073924">
              <w:rPr>
                <w:b/>
                <w:bCs/>
              </w:rPr>
              <w:t>Catalog or Collection</w:t>
            </w:r>
          </w:p>
        </w:tc>
        <w:tc>
          <w:tcPr>
            <w:tcW w:w="3870" w:type="dxa"/>
            <w:shd w:val="clear" w:color="auto" w:fill="auto"/>
            <w:noWrap/>
            <w:vAlign w:val="center"/>
            <w:hideMark/>
          </w:tcPr>
          <w:p w14:paraId="5C0D3F3E" w14:textId="77777777" w:rsidR="00517D38" w:rsidRPr="00073924" w:rsidRDefault="00517D38" w:rsidP="00517D38">
            <w:pPr>
              <w:rPr>
                <w:b/>
                <w:bCs/>
              </w:rPr>
            </w:pPr>
            <w:r w:rsidRPr="00073924">
              <w:rPr>
                <w:b/>
                <w:bCs/>
              </w:rPr>
              <w:t>Title</w:t>
            </w:r>
          </w:p>
        </w:tc>
        <w:tc>
          <w:tcPr>
            <w:tcW w:w="1370" w:type="dxa"/>
            <w:shd w:val="clear" w:color="auto" w:fill="auto"/>
            <w:noWrap/>
            <w:vAlign w:val="center"/>
            <w:hideMark/>
          </w:tcPr>
          <w:p w14:paraId="034005DE" w14:textId="77777777" w:rsidR="00517D38" w:rsidRPr="00073924" w:rsidRDefault="00517D38" w:rsidP="00517D38">
            <w:pPr>
              <w:rPr>
                <w:b/>
                <w:bCs/>
              </w:rPr>
            </w:pPr>
            <w:r w:rsidRPr="00073924">
              <w:rPr>
                <w:b/>
                <w:bCs/>
              </w:rPr>
              <w:t>ISSN / ISBN</w:t>
            </w:r>
          </w:p>
        </w:tc>
        <w:tc>
          <w:tcPr>
            <w:tcW w:w="1362" w:type="dxa"/>
            <w:shd w:val="clear" w:color="auto" w:fill="auto"/>
            <w:noWrap/>
            <w:vAlign w:val="center"/>
            <w:hideMark/>
          </w:tcPr>
          <w:p w14:paraId="4A2DCF0B" w14:textId="77777777" w:rsidR="00517D38" w:rsidRPr="00073924" w:rsidRDefault="00517D38" w:rsidP="00517D38">
            <w:pPr>
              <w:rPr>
                <w:b/>
                <w:bCs/>
              </w:rPr>
            </w:pPr>
            <w:r w:rsidRPr="00073924">
              <w:rPr>
                <w:b/>
                <w:bCs/>
              </w:rPr>
              <w:t>Years Included</w:t>
            </w:r>
          </w:p>
        </w:tc>
        <w:tc>
          <w:tcPr>
            <w:tcW w:w="1277" w:type="dxa"/>
            <w:shd w:val="clear" w:color="auto" w:fill="auto"/>
            <w:noWrap/>
            <w:vAlign w:val="center"/>
            <w:hideMark/>
          </w:tcPr>
          <w:p w14:paraId="5A6CB815" w14:textId="77777777" w:rsidR="00517D38" w:rsidRPr="00073924" w:rsidRDefault="00517D38" w:rsidP="00517D38">
            <w:pPr>
              <w:rPr>
                <w:b/>
                <w:bCs/>
              </w:rPr>
            </w:pPr>
            <w:r w:rsidRPr="00073924">
              <w:rPr>
                <w:b/>
                <w:bCs/>
              </w:rPr>
              <w:t>Fee</w:t>
            </w:r>
          </w:p>
        </w:tc>
      </w:tr>
      <w:tr w:rsidR="00517D38" w:rsidRPr="00073924" w14:paraId="21369B00" w14:textId="77777777" w:rsidTr="00073924">
        <w:tc>
          <w:tcPr>
            <w:tcW w:w="1620" w:type="dxa"/>
            <w:shd w:val="clear" w:color="auto" w:fill="auto"/>
            <w:noWrap/>
            <w:vAlign w:val="center"/>
            <w:hideMark/>
          </w:tcPr>
          <w:p w14:paraId="5B92618A" w14:textId="1C2EF017" w:rsidR="00517D38" w:rsidRPr="00073924" w:rsidRDefault="00517D38" w:rsidP="00517D38">
            <w:r w:rsidRPr="00073924">
              <w:t> </w:t>
            </w:r>
          </w:p>
        </w:tc>
        <w:tc>
          <w:tcPr>
            <w:tcW w:w="3870" w:type="dxa"/>
            <w:shd w:val="clear" w:color="auto" w:fill="auto"/>
            <w:noWrap/>
            <w:vAlign w:val="center"/>
            <w:hideMark/>
          </w:tcPr>
          <w:p w14:paraId="19B4D469" w14:textId="77777777" w:rsidR="00517D38" w:rsidRPr="00073924" w:rsidRDefault="00517D38" w:rsidP="00517D38">
            <w:r w:rsidRPr="00073924">
              <w:t> </w:t>
            </w:r>
          </w:p>
        </w:tc>
        <w:tc>
          <w:tcPr>
            <w:tcW w:w="1370" w:type="dxa"/>
            <w:shd w:val="clear" w:color="auto" w:fill="auto"/>
            <w:noWrap/>
            <w:vAlign w:val="center"/>
            <w:hideMark/>
          </w:tcPr>
          <w:p w14:paraId="49457B7D" w14:textId="77777777" w:rsidR="00517D38" w:rsidRPr="00073924" w:rsidRDefault="00517D38" w:rsidP="00517D38">
            <w:r w:rsidRPr="00073924">
              <w:t> </w:t>
            </w:r>
          </w:p>
        </w:tc>
        <w:tc>
          <w:tcPr>
            <w:tcW w:w="1362" w:type="dxa"/>
            <w:shd w:val="clear" w:color="auto" w:fill="auto"/>
            <w:noWrap/>
            <w:vAlign w:val="center"/>
            <w:hideMark/>
          </w:tcPr>
          <w:p w14:paraId="099F3EDC" w14:textId="77777777" w:rsidR="00517D38" w:rsidRPr="00073924" w:rsidRDefault="00517D38" w:rsidP="00517D38">
            <w:r w:rsidRPr="00073924">
              <w:t> </w:t>
            </w:r>
          </w:p>
        </w:tc>
        <w:tc>
          <w:tcPr>
            <w:tcW w:w="1277" w:type="dxa"/>
            <w:shd w:val="clear" w:color="auto" w:fill="auto"/>
            <w:noWrap/>
            <w:vAlign w:val="center"/>
            <w:hideMark/>
          </w:tcPr>
          <w:p w14:paraId="3D3B263C" w14:textId="77777777" w:rsidR="00517D38" w:rsidRPr="00073924" w:rsidRDefault="00517D38" w:rsidP="00517D38">
            <w:r w:rsidRPr="00073924">
              <w:t> </w:t>
            </w:r>
          </w:p>
        </w:tc>
      </w:tr>
      <w:tr w:rsidR="00517D38" w:rsidRPr="00073924" w14:paraId="5654957B" w14:textId="77777777" w:rsidTr="00073924">
        <w:tc>
          <w:tcPr>
            <w:tcW w:w="5490" w:type="dxa"/>
            <w:gridSpan w:val="2"/>
            <w:shd w:val="clear" w:color="auto" w:fill="auto"/>
            <w:noWrap/>
            <w:vAlign w:val="center"/>
          </w:tcPr>
          <w:p w14:paraId="3AE95851" w14:textId="77777777" w:rsidR="00517D38" w:rsidRPr="00073924" w:rsidRDefault="00517D38" w:rsidP="00517D38">
            <w:pPr>
              <w:rPr>
                <w:b/>
                <w:bCs/>
              </w:rPr>
            </w:pPr>
            <w:r w:rsidRPr="00073924">
              <w:rPr>
                <w:b/>
                <w:bCs/>
              </w:rPr>
              <w:t>Total</w:t>
            </w:r>
          </w:p>
        </w:tc>
        <w:tc>
          <w:tcPr>
            <w:tcW w:w="4009" w:type="dxa"/>
            <w:gridSpan w:val="3"/>
            <w:shd w:val="clear" w:color="auto" w:fill="auto"/>
            <w:noWrap/>
            <w:vAlign w:val="center"/>
          </w:tcPr>
          <w:p w14:paraId="24EDEAC7" w14:textId="77777777" w:rsidR="00517D38" w:rsidRPr="00073924" w:rsidRDefault="00517D38" w:rsidP="00517D38">
            <w:pPr>
              <w:rPr>
                <w:b/>
                <w:bCs/>
              </w:rPr>
            </w:pPr>
            <w:r w:rsidRPr="00073924">
              <w:rPr>
                <w:b/>
                <w:bCs/>
              </w:rPr>
              <w:t xml:space="preserve">USD </w:t>
            </w:r>
          </w:p>
        </w:tc>
      </w:tr>
    </w:tbl>
    <w:p w14:paraId="05F76A93" w14:textId="77777777" w:rsidR="00517D38" w:rsidRPr="00073924" w:rsidRDefault="00517D38" w:rsidP="00517D38"/>
    <w:p w14:paraId="7FC0498A" w14:textId="77777777" w:rsidR="00517D38" w:rsidRPr="00073924" w:rsidRDefault="00517D38" w:rsidP="00517D38">
      <w:pPr>
        <w:pStyle w:val="ListParagraph"/>
        <w:keepNext/>
        <w:keepLines/>
        <w:numPr>
          <w:ilvl w:val="0"/>
          <w:numId w:val="18"/>
        </w:numPr>
        <w:spacing w:after="0" w:line="240" w:lineRule="auto"/>
        <w:rPr>
          <w:rFonts w:ascii="Times New Roman" w:hAnsi="Times New Roman"/>
        </w:rPr>
      </w:pPr>
      <w:r w:rsidRPr="00073924">
        <w:rPr>
          <w:rFonts w:ascii="Times New Roman" w:hAnsi="Times New Roman"/>
          <w:b/>
          <w:bCs/>
        </w:rPr>
        <w:t>Appendix Term:</w:t>
      </w:r>
      <w:r w:rsidRPr="00073924">
        <w:rPr>
          <w:rFonts w:ascii="Times New Roman" w:hAnsi="Times New Roman"/>
          <w:bCs/>
        </w:rPr>
        <w:t xml:space="preserve"> </w:t>
      </w:r>
      <w:r w:rsidRPr="00073924">
        <w:rPr>
          <w:rFonts w:ascii="Times New Roman" w:hAnsi="Times New Roman"/>
        </w:rPr>
        <w:t>_____ through _____.</w:t>
      </w:r>
    </w:p>
    <w:p w14:paraId="0ED21F8F" w14:textId="77777777" w:rsidR="00517D38" w:rsidRPr="00073924" w:rsidRDefault="00517D38" w:rsidP="00517D38">
      <w:pPr>
        <w:pStyle w:val="ListParagraph"/>
        <w:keepNext/>
        <w:keepLines/>
        <w:numPr>
          <w:ilvl w:val="1"/>
          <w:numId w:val="18"/>
        </w:numPr>
        <w:spacing w:after="0" w:line="240" w:lineRule="auto"/>
        <w:rPr>
          <w:rFonts w:ascii="Times New Roman" w:hAnsi="Times New Roman"/>
        </w:rPr>
      </w:pPr>
      <w:r w:rsidRPr="00073924">
        <w:rPr>
          <w:rFonts w:ascii="Times New Roman" w:hAnsi="Times New Roman"/>
        </w:rPr>
        <w:t>During this period, the Customer may license additional products under this Appendix and the Agreement.</w:t>
      </w:r>
    </w:p>
    <w:p w14:paraId="2E115E22" w14:textId="137BEB58" w:rsidR="00517D38" w:rsidRPr="00073924" w:rsidRDefault="00517D38" w:rsidP="00517D38">
      <w:pPr>
        <w:pStyle w:val="ListParagraph"/>
        <w:keepNext/>
        <w:keepLines/>
        <w:numPr>
          <w:ilvl w:val="1"/>
          <w:numId w:val="18"/>
        </w:numPr>
        <w:spacing w:after="0" w:line="240" w:lineRule="auto"/>
        <w:rPr>
          <w:rFonts w:ascii="Times New Roman" w:hAnsi="Times New Roman"/>
        </w:rPr>
      </w:pPr>
      <w:r w:rsidRPr="00073924">
        <w:rPr>
          <w:rFonts w:ascii="Times New Roman" w:hAnsi="Times New Roman"/>
        </w:rPr>
        <w:t xml:space="preserve">The Appendix Term may never exceed the </w:t>
      </w:r>
      <w:r w:rsidR="0061532B">
        <w:rPr>
          <w:rFonts w:ascii="Times New Roman" w:hAnsi="Times New Roman"/>
        </w:rPr>
        <w:t>T</w:t>
      </w:r>
      <w:r w:rsidRPr="00073924">
        <w:rPr>
          <w:rFonts w:ascii="Times New Roman" w:hAnsi="Times New Roman"/>
        </w:rPr>
        <w:t>erm of the Agreement as set forth in Section 7.1. of the Agreement.</w:t>
      </w:r>
    </w:p>
    <w:p w14:paraId="6B550621" w14:textId="77777777" w:rsidR="00517D38" w:rsidRPr="00073924" w:rsidRDefault="00517D38" w:rsidP="00517D38">
      <w:pPr>
        <w:rPr>
          <w:szCs w:val="22"/>
        </w:rPr>
      </w:pPr>
    </w:p>
    <w:p w14:paraId="37D920A4" w14:textId="77777777" w:rsidR="00517D38" w:rsidRPr="00073924" w:rsidRDefault="00517D38" w:rsidP="00517D38"/>
    <w:p w14:paraId="7B9FCF95" w14:textId="48C75DA7" w:rsidR="00EB4ABC" w:rsidRPr="00073924" w:rsidRDefault="00DD637F" w:rsidP="00C96A82">
      <w:pPr>
        <w:pStyle w:val="Heading1"/>
      </w:pPr>
      <w:r w:rsidRPr="00073924">
        <w:rPr>
          <w:szCs w:val="22"/>
        </w:rPr>
        <w:br w:type="page"/>
      </w:r>
      <w:r w:rsidR="00C96A82" w:rsidRPr="00073924" w:rsidDel="00C96A82">
        <w:lastRenderedPageBreak/>
        <w:t xml:space="preserve"> </w:t>
      </w:r>
      <w:r w:rsidR="00EB4ABC" w:rsidRPr="00073924">
        <w:t>APPENDIX N</w:t>
      </w:r>
      <w:r w:rsidR="00A71B84" w:rsidRPr="00073924">
        <w:t>:</w:t>
      </w:r>
      <w:r w:rsidR="00EB4ABC" w:rsidRPr="00073924">
        <w:t xml:space="preserve"> CLINMICRONOW </w:t>
      </w:r>
      <w:r w:rsidR="004A717C" w:rsidRPr="00073924">
        <w:t>– Annual Subscription</w:t>
      </w:r>
    </w:p>
    <w:p w14:paraId="3CEB8934" w14:textId="77777777" w:rsidR="00EB4ABC" w:rsidRPr="00073924" w:rsidRDefault="00EB4ABC" w:rsidP="00517D38">
      <w:pPr>
        <w:rPr>
          <w:szCs w:val="22"/>
        </w:rPr>
      </w:pPr>
      <w:r w:rsidRPr="00073924">
        <w:rPr>
          <w:szCs w:val="22"/>
        </w:rPr>
        <w:t xml:space="preserve">Customer: </w:t>
      </w:r>
    </w:p>
    <w:p w14:paraId="32FB7652" w14:textId="77777777" w:rsidR="00EB4ABC" w:rsidRPr="00073924" w:rsidRDefault="00EB4ABC" w:rsidP="00517D38">
      <w:pPr>
        <w:rPr>
          <w:szCs w:val="22"/>
        </w:rPr>
      </w:pPr>
    </w:p>
    <w:p w14:paraId="73F6E6E0" w14:textId="77777777" w:rsidR="00EB4ABC" w:rsidRPr="00073924" w:rsidRDefault="00EB4ABC" w:rsidP="00517D38">
      <w:pPr>
        <w:tabs>
          <w:tab w:val="left" w:pos="5040"/>
          <w:tab w:val="left" w:pos="5760"/>
        </w:tabs>
        <w:rPr>
          <w:szCs w:val="22"/>
        </w:rPr>
      </w:pPr>
      <w:proofErr w:type="spellStart"/>
      <w:r w:rsidRPr="00073924">
        <w:rPr>
          <w:szCs w:val="22"/>
        </w:rPr>
        <w:t>ClinMicroNow</w:t>
      </w:r>
      <w:proofErr w:type="spellEnd"/>
      <w:r w:rsidRPr="00073924">
        <w:rPr>
          <w:szCs w:val="22"/>
        </w:rPr>
        <w:t xml:space="preserve"> is an electronic product to which the Customer has access under this Agreement. It includes full text content, tables, </w:t>
      </w:r>
      <w:proofErr w:type="gramStart"/>
      <w:r w:rsidRPr="00073924">
        <w:rPr>
          <w:szCs w:val="22"/>
        </w:rPr>
        <w:t>figures</w:t>
      </w:r>
      <w:proofErr w:type="gramEnd"/>
      <w:r w:rsidRPr="00073924">
        <w:rPr>
          <w:szCs w:val="22"/>
        </w:rPr>
        <w:t xml:space="preserve"> and cases. </w:t>
      </w:r>
    </w:p>
    <w:p w14:paraId="62041D54" w14:textId="77777777" w:rsidR="00EB4ABC" w:rsidRPr="00073924" w:rsidRDefault="00EB4ABC" w:rsidP="00517D38">
      <w:pPr>
        <w:tabs>
          <w:tab w:val="left" w:pos="720"/>
          <w:tab w:val="left" w:pos="5040"/>
          <w:tab w:val="left" w:pos="5760"/>
        </w:tabs>
        <w:rPr>
          <w:szCs w:val="22"/>
        </w:rPr>
      </w:pPr>
    </w:p>
    <w:p w14:paraId="52E60664" w14:textId="77777777" w:rsidR="004A717C" w:rsidRPr="00073924" w:rsidRDefault="000C3434" w:rsidP="00517D38">
      <w:pPr>
        <w:pStyle w:val="ProductAppendecisLevel1"/>
        <w:numPr>
          <w:ilvl w:val="0"/>
          <w:numId w:val="19"/>
        </w:numPr>
        <w:rPr>
          <w:rFonts w:cs="Times New Roman"/>
          <w:lang w:val="en-US"/>
        </w:rPr>
      </w:pPr>
      <w:r w:rsidRPr="00073924">
        <w:rPr>
          <w:rFonts w:cs="Times New Roman"/>
          <w:b/>
          <w:bCs/>
          <w:lang w:val="en-US"/>
        </w:rPr>
        <w:t xml:space="preserve">Access: </w:t>
      </w:r>
      <w:r w:rsidRPr="00073924">
        <w:rPr>
          <w:rFonts w:cs="Times New Roman"/>
          <w:lang w:val="en-US"/>
        </w:rPr>
        <w:t xml:space="preserve">An Annual Subscription will give the Customer access to the </w:t>
      </w:r>
      <w:proofErr w:type="spellStart"/>
      <w:r w:rsidRPr="00073924">
        <w:rPr>
          <w:rFonts w:cs="Times New Roman"/>
          <w:lang w:val="en-US"/>
        </w:rPr>
        <w:t>ClinMicroNow</w:t>
      </w:r>
      <w:proofErr w:type="spellEnd"/>
      <w:r w:rsidRPr="00073924">
        <w:rPr>
          <w:rFonts w:cs="Times New Roman"/>
          <w:lang w:val="en-US"/>
        </w:rPr>
        <w:t xml:space="preserve"> version that is available at the time this Agreement begins, plus any content added or updated during the Term. </w:t>
      </w:r>
    </w:p>
    <w:p w14:paraId="5D90133A" w14:textId="77777777" w:rsidR="000C3434" w:rsidRPr="00073924" w:rsidRDefault="000C3434" w:rsidP="00517D38">
      <w:pPr>
        <w:pStyle w:val="ProductAppendecisLevel1"/>
        <w:numPr>
          <w:ilvl w:val="1"/>
          <w:numId w:val="19"/>
        </w:numPr>
        <w:rPr>
          <w:rFonts w:cs="Times New Roman"/>
          <w:lang w:val="en-US"/>
        </w:rPr>
      </w:pPr>
      <w:r w:rsidRPr="00073924">
        <w:rPr>
          <w:rFonts w:cs="Times New Roman"/>
          <w:lang w:val="en-US"/>
        </w:rPr>
        <w:t xml:space="preserve">The Customer must continue to subscribe each year </w:t>
      </w:r>
      <w:proofErr w:type="gramStart"/>
      <w:r w:rsidRPr="00073924">
        <w:rPr>
          <w:rFonts w:cs="Times New Roman"/>
          <w:lang w:val="en-US"/>
        </w:rPr>
        <w:t>in order to</w:t>
      </w:r>
      <w:proofErr w:type="gramEnd"/>
      <w:r w:rsidRPr="00073924">
        <w:rPr>
          <w:rFonts w:cs="Times New Roman"/>
          <w:lang w:val="en-US"/>
        </w:rPr>
        <w:t xml:space="preserve"> retain access.</w:t>
      </w:r>
    </w:p>
    <w:p w14:paraId="7B3E7D4C" w14:textId="77777777" w:rsidR="000C3434" w:rsidRPr="00073924" w:rsidRDefault="000C3434" w:rsidP="00517D38">
      <w:pPr>
        <w:pStyle w:val="ProductAppendecisLevel1"/>
        <w:numPr>
          <w:ilvl w:val="1"/>
          <w:numId w:val="19"/>
        </w:numPr>
        <w:rPr>
          <w:rFonts w:cs="Times New Roman"/>
          <w:lang w:val="en-US"/>
        </w:rPr>
      </w:pPr>
      <w:r w:rsidRPr="00073924">
        <w:rPr>
          <w:rFonts w:cs="Times New Roman"/>
          <w:lang w:val="en-US"/>
        </w:rPr>
        <w:t xml:space="preserve">Wiley currently provides access to </w:t>
      </w:r>
      <w:proofErr w:type="spellStart"/>
      <w:r w:rsidRPr="00073924">
        <w:rPr>
          <w:rFonts w:cs="Times New Roman"/>
          <w:lang w:val="en-US"/>
        </w:rPr>
        <w:t>ClinMicroNow</w:t>
      </w:r>
      <w:proofErr w:type="spellEnd"/>
      <w:r w:rsidRPr="00073924">
        <w:rPr>
          <w:rFonts w:cs="Times New Roman"/>
          <w:lang w:val="en-US"/>
        </w:rPr>
        <w:t xml:space="preserve"> via the following URL: </w:t>
      </w:r>
      <w:hyperlink r:id="rId13" w:history="1">
        <w:r w:rsidRPr="00073924">
          <w:rPr>
            <w:rStyle w:val="Hyperlink"/>
            <w:rFonts w:cs="Times New Roman"/>
            <w:lang w:val="en-US"/>
          </w:rPr>
          <w:t>https://www.clinmicronow.org/</w:t>
        </w:r>
      </w:hyperlink>
      <w:r w:rsidRPr="00073924">
        <w:rPr>
          <w:rFonts w:cs="Times New Roman"/>
          <w:color w:val="000000"/>
          <w:lang w:val="en-US"/>
        </w:rPr>
        <w:t xml:space="preserve">. </w:t>
      </w:r>
      <w:r w:rsidRPr="00073924">
        <w:rPr>
          <w:rFonts w:cs="Times New Roman"/>
          <w:lang w:val="en-US"/>
        </w:rPr>
        <w:t>Wiley may change the URL at its sole discretion.</w:t>
      </w:r>
    </w:p>
    <w:p w14:paraId="2759B5A9" w14:textId="77777777" w:rsidR="000C3434" w:rsidRPr="00073924" w:rsidRDefault="000C3434" w:rsidP="00517D38">
      <w:pPr>
        <w:pStyle w:val="ProductAppendecisLevel1"/>
        <w:rPr>
          <w:rFonts w:cs="Times New Roman"/>
          <w:lang w:val="en-US"/>
        </w:rPr>
      </w:pPr>
    </w:p>
    <w:p w14:paraId="379AE159" w14:textId="104D210E" w:rsidR="00EB4ABC" w:rsidRPr="00073924" w:rsidRDefault="004A717C" w:rsidP="00517D38">
      <w:pPr>
        <w:pStyle w:val="ListParagraph"/>
        <w:numPr>
          <w:ilvl w:val="0"/>
          <w:numId w:val="19"/>
        </w:numPr>
        <w:tabs>
          <w:tab w:val="left" w:pos="5040"/>
          <w:tab w:val="left" w:pos="5760"/>
        </w:tabs>
        <w:spacing w:after="0" w:line="240" w:lineRule="auto"/>
        <w:rPr>
          <w:rFonts w:ascii="Times New Roman" w:hAnsi="Times New Roman"/>
        </w:rPr>
      </w:pPr>
      <w:r w:rsidRPr="00073924">
        <w:rPr>
          <w:rFonts w:ascii="Times New Roman" w:hAnsi="Times New Roman"/>
          <w:b/>
          <w:bCs/>
        </w:rPr>
        <w:t xml:space="preserve">Restrictions: </w:t>
      </w:r>
      <w:r w:rsidR="000C3434" w:rsidRPr="00073924">
        <w:rPr>
          <w:rFonts w:ascii="Times New Roman" w:hAnsi="Times New Roman"/>
        </w:rPr>
        <w:t xml:space="preserve">The Customer may not integrate material from </w:t>
      </w:r>
      <w:proofErr w:type="spellStart"/>
      <w:r w:rsidR="000C3434" w:rsidRPr="00073924">
        <w:rPr>
          <w:rFonts w:ascii="Times New Roman" w:hAnsi="Times New Roman"/>
        </w:rPr>
        <w:t>ClinMicroNow</w:t>
      </w:r>
      <w:proofErr w:type="spellEnd"/>
      <w:r w:rsidR="000C3434" w:rsidRPr="00073924">
        <w:rPr>
          <w:rFonts w:ascii="Times New Roman" w:hAnsi="Times New Roman"/>
        </w:rPr>
        <w:t xml:space="preserve"> with other material or otherwise create derivative works in any medium. This includes course packs, except as permitted under </w:t>
      </w:r>
      <w:r w:rsidR="005C6F2E" w:rsidRPr="00073924">
        <w:rPr>
          <w:rFonts w:ascii="Times New Roman" w:hAnsi="Times New Roman"/>
        </w:rPr>
        <w:t xml:space="preserve">Section </w:t>
      </w:r>
      <w:r w:rsidR="000C3434" w:rsidRPr="00073924">
        <w:rPr>
          <w:rFonts w:ascii="Times New Roman" w:hAnsi="Times New Roman"/>
        </w:rPr>
        <w:t>3.1.d.</w:t>
      </w:r>
      <w:r w:rsidR="00517D38" w:rsidRPr="00073924">
        <w:rPr>
          <w:rFonts w:ascii="Times New Roman" w:hAnsi="Times New Roman"/>
        </w:rPr>
        <w:t xml:space="preserve"> </w:t>
      </w:r>
      <w:r w:rsidR="000C3434" w:rsidRPr="00073924">
        <w:rPr>
          <w:rFonts w:ascii="Times New Roman" w:hAnsi="Times New Roman"/>
        </w:rPr>
        <w:t xml:space="preserve">of the Agreement, or training materials. Any permitted use of material from </w:t>
      </w:r>
      <w:proofErr w:type="spellStart"/>
      <w:r w:rsidR="000C3434" w:rsidRPr="00073924">
        <w:rPr>
          <w:rFonts w:ascii="Times New Roman" w:hAnsi="Times New Roman"/>
        </w:rPr>
        <w:t>ClinMicroNow</w:t>
      </w:r>
      <w:proofErr w:type="spellEnd"/>
      <w:r w:rsidR="000C3434" w:rsidRPr="00073924">
        <w:rPr>
          <w:rFonts w:ascii="Times New Roman" w:hAnsi="Times New Roman"/>
        </w:rPr>
        <w:t xml:space="preserve"> must include appropriate credit including the date of the last update of the topic. The Customer should contact Wiley directly for permission and fees to use </w:t>
      </w:r>
      <w:proofErr w:type="spellStart"/>
      <w:r w:rsidR="000C3434" w:rsidRPr="00073924">
        <w:rPr>
          <w:rFonts w:ascii="Times New Roman" w:hAnsi="Times New Roman"/>
        </w:rPr>
        <w:t>ClinMicroNow</w:t>
      </w:r>
      <w:proofErr w:type="spellEnd"/>
      <w:r w:rsidR="000C3434" w:rsidRPr="00073924">
        <w:rPr>
          <w:rFonts w:ascii="Times New Roman" w:hAnsi="Times New Roman"/>
        </w:rPr>
        <w:t xml:space="preserve"> content in any other manner</w:t>
      </w:r>
      <w:r w:rsidR="00EB4ABC" w:rsidRPr="00073924">
        <w:rPr>
          <w:rFonts w:ascii="Times New Roman" w:hAnsi="Times New Roman"/>
        </w:rPr>
        <w:t>.</w:t>
      </w:r>
    </w:p>
    <w:p w14:paraId="4BC3DBB6" w14:textId="77777777" w:rsidR="00EB4ABC" w:rsidRPr="00073924" w:rsidRDefault="00EB4ABC" w:rsidP="00517D38">
      <w:pPr>
        <w:tabs>
          <w:tab w:val="left" w:pos="720"/>
          <w:tab w:val="left" w:pos="5040"/>
          <w:tab w:val="left" w:pos="5760"/>
        </w:tabs>
        <w:rPr>
          <w:szCs w:val="22"/>
        </w:rPr>
      </w:pPr>
    </w:p>
    <w:p w14:paraId="33D0C0CA" w14:textId="77777777" w:rsidR="00EB4ABC" w:rsidRPr="00073924" w:rsidRDefault="00EB4ABC" w:rsidP="00517D38">
      <w:pPr>
        <w:pStyle w:val="ListParagraph"/>
        <w:numPr>
          <w:ilvl w:val="0"/>
          <w:numId w:val="19"/>
        </w:numPr>
        <w:spacing w:after="0" w:line="240" w:lineRule="auto"/>
        <w:rPr>
          <w:rFonts w:ascii="Times New Roman" w:hAnsi="Times New Roman"/>
          <w:b/>
          <w:bCs/>
        </w:rPr>
      </w:pPr>
      <w:bookmarkStart w:id="2" w:name="_Hlk49176520"/>
      <w:r w:rsidRPr="00073924">
        <w:rPr>
          <w:rFonts w:ascii="Times New Roman" w:hAnsi="Times New Roman"/>
          <w:b/>
        </w:rPr>
        <w:t xml:space="preserve">Fees: </w:t>
      </w:r>
      <w:proofErr w:type="spellStart"/>
      <w:r w:rsidRPr="00073924">
        <w:rPr>
          <w:rFonts w:ascii="Times New Roman" w:hAnsi="Times New Roman"/>
        </w:rPr>
        <w:t>ClinMicroNow</w:t>
      </w:r>
      <w:proofErr w:type="spellEnd"/>
      <w:r w:rsidRPr="00073924">
        <w:rPr>
          <w:rFonts w:ascii="Times New Roman" w:hAnsi="Times New Roman"/>
        </w:rPr>
        <w:t xml:space="preserve"> Fees are calculated based on the Customer’s number of FTEs. </w:t>
      </w:r>
    </w:p>
    <w:bookmarkEnd w:id="2"/>
    <w:p w14:paraId="6A80DFE5" w14:textId="77777777" w:rsidR="00EB4ABC" w:rsidRPr="00073924" w:rsidRDefault="00EB4ABC" w:rsidP="00517D38">
      <w:pPr>
        <w:pStyle w:val="ListParagraph"/>
        <w:numPr>
          <w:ilvl w:val="1"/>
          <w:numId w:val="19"/>
        </w:numPr>
        <w:spacing w:after="0" w:line="240" w:lineRule="auto"/>
        <w:rPr>
          <w:rFonts w:ascii="Times New Roman" w:hAnsi="Times New Roman"/>
          <w:b/>
          <w:bCs/>
        </w:rPr>
      </w:pPr>
      <w:proofErr w:type="spellStart"/>
      <w:r w:rsidRPr="00073924">
        <w:rPr>
          <w:rFonts w:ascii="Times New Roman" w:hAnsi="Times New Roman"/>
          <w:b/>
          <w:bCs/>
        </w:rPr>
        <w:t>ClinMicroNow</w:t>
      </w:r>
      <w:proofErr w:type="spellEnd"/>
      <w:r w:rsidRPr="00073924">
        <w:rPr>
          <w:rFonts w:ascii="Times New Roman" w:hAnsi="Times New Roman"/>
          <w:b/>
          <w:bCs/>
        </w:rPr>
        <w:t xml:space="preserve"> Fee for Year 1:</w:t>
      </w:r>
      <w:r w:rsidR="00822295" w:rsidRPr="00073924">
        <w:rPr>
          <w:rFonts w:ascii="Times New Roman" w:hAnsi="Times New Roman"/>
          <w:b/>
          <w:bCs/>
        </w:rPr>
        <w:t xml:space="preserve"> </w:t>
      </w:r>
      <w:r w:rsidR="00822295" w:rsidRPr="00073924">
        <w:rPr>
          <w:rFonts w:ascii="Times New Roman" w:hAnsi="Times New Roman"/>
        </w:rPr>
        <w:t>USD</w:t>
      </w:r>
      <w:r w:rsidR="003826FD" w:rsidRPr="00073924">
        <w:rPr>
          <w:rFonts w:ascii="Times New Roman" w:hAnsi="Times New Roman"/>
        </w:rPr>
        <w:t xml:space="preserve"> ___.</w:t>
      </w:r>
    </w:p>
    <w:p w14:paraId="6D1A3E36" w14:textId="77777777" w:rsidR="00DF70BA" w:rsidRPr="00073924" w:rsidRDefault="00DF70BA" w:rsidP="00517D38">
      <w:pPr>
        <w:pStyle w:val="ListParagraph"/>
        <w:numPr>
          <w:ilvl w:val="1"/>
          <w:numId w:val="19"/>
        </w:numPr>
        <w:spacing w:after="0" w:line="240" w:lineRule="auto"/>
        <w:rPr>
          <w:rFonts w:ascii="Times New Roman" w:hAnsi="Times New Roman"/>
          <w:b/>
          <w:bCs/>
        </w:rPr>
      </w:pPr>
      <w:r w:rsidRPr="00073924">
        <w:rPr>
          <w:rFonts w:ascii="Times New Roman" w:hAnsi="Times New Roman"/>
          <w:b/>
          <w:bCs/>
        </w:rPr>
        <w:t xml:space="preserve">Fee Increase Cap: </w:t>
      </w:r>
      <w:r w:rsidRPr="00073924">
        <w:rPr>
          <w:rFonts w:ascii="Times New Roman" w:hAnsi="Times New Roman"/>
        </w:rPr>
        <w:t xml:space="preserve"> ____%.</w:t>
      </w:r>
    </w:p>
    <w:p w14:paraId="22D19EA5" w14:textId="77777777" w:rsidR="00EB4ABC" w:rsidRPr="00073924" w:rsidRDefault="00EB4ABC" w:rsidP="00517D38">
      <w:pPr>
        <w:pStyle w:val="ListParagraph"/>
        <w:tabs>
          <w:tab w:val="left" w:pos="5040"/>
          <w:tab w:val="left" w:pos="5760"/>
        </w:tabs>
        <w:spacing w:after="0" w:line="240" w:lineRule="auto"/>
        <w:ind w:left="0"/>
        <w:rPr>
          <w:rFonts w:ascii="Times New Roman" w:hAnsi="Times New Roman"/>
          <w:b/>
        </w:rPr>
      </w:pPr>
    </w:p>
    <w:p w14:paraId="5EBFF1B0" w14:textId="77777777" w:rsidR="00EB4ABC" w:rsidRPr="00073924" w:rsidRDefault="00EB4ABC" w:rsidP="00517D38">
      <w:pPr>
        <w:pStyle w:val="ListParagraph"/>
        <w:numPr>
          <w:ilvl w:val="0"/>
          <w:numId w:val="19"/>
        </w:numPr>
        <w:spacing w:after="0" w:line="240" w:lineRule="auto"/>
        <w:rPr>
          <w:rFonts w:ascii="Times New Roman" w:hAnsi="Times New Roman"/>
        </w:rPr>
      </w:pPr>
      <w:r w:rsidRPr="00073924">
        <w:rPr>
          <w:rFonts w:ascii="Times New Roman" w:hAnsi="Times New Roman"/>
          <w:b/>
          <w:bCs/>
        </w:rPr>
        <w:t>Appendix Term:</w:t>
      </w:r>
      <w:r w:rsidRPr="00073924">
        <w:rPr>
          <w:rFonts w:ascii="Times New Roman" w:hAnsi="Times New Roman"/>
          <w:bCs/>
        </w:rPr>
        <w:t xml:space="preserve"> </w:t>
      </w:r>
      <w:r w:rsidRPr="00073924">
        <w:rPr>
          <w:rFonts w:ascii="Times New Roman" w:hAnsi="Times New Roman"/>
        </w:rPr>
        <w:t xml:space="preserve">___ through ___. </w:t>
      </w:r>
    </w:p>
    <w:p w14:paraId="04A7CD4D" w14:textId="00573A5F" w:rsidR="00EB4ABC" w:rsidRPr="00073924" w:rsidRDefault="001803D2" w:rsidP="00517D38">
      <w:pPr>
        <w:pStyle w:val="ListParagraph"/>
        <w:numPr>
          <w:ilvl w:val="1"/>
          <w:numId w:val="19"/>
        </w:numPr>
        <w:tabs>
          <w:tab w:val="left" w:pos="720"/>
          <w:tab w:val="left" w:pos="1440"/>
          <w:tab w:val="left" w:pos="5040"/>
          <w:tab w:val="left" w:pos="5760"/>
        </w:tabs>
        <w:spacing w:after="0" w:line="240" w:lineRule="auto"/>
        <w:rPr>
          <w:rFonts w:ascii="Times New Roman" w:hAnsi="Times New Roman"/>
        </w:rPr>
      </w:pPr>
      <w:r w:rsidRPr="00073924">
        <w:rPr>
          <w:rFonts w:ascii="Times New Roman" w:hAnsi="Times New Roman"/>
        </w:rPr>
        <w:t xml:space="preserve">The Appendix Term may never exceed the </w:t>
      </w:r>
      <w:r w:rsidR="0061532B">
        <w:rPr>
          <w:rFonts w:ascii="Times New Roman" w:hAnsi="Times New Roman"/>
        </w:rPr>
        <w:t>T</w:t>
      </w:r>
      <w:r w:rsidRPr="00073924">
        <w:rPr>
          <w:rFonts w:ascii="Times New Roman" w:hAnsi="Times New Roman"/>
        </w:rPr>
        <w:t>erm of the Agreement as set forth in</w:t>
      </w:r>
      <w:r w:rsidR="00DF70BA" w:rsidRPr="00073924">
        <w:rPr>
          <w:rFonts w:ascii="Times New Roman" w:hAnsi="Times New Roman"/>
        </w:rPr>
        <w:t xml:space="preserve"> </w:t>
      </w:r>
      <w:r w:rsidR="00517D38" w:rsidRPr="00073924">
        <w:rPr>
          <w:rFonts w:ascii="Times New Roman" w:hAnsi="Times New Roman"/>
        </w:rPr>
        <w:t xml:space="preserve">Section 7.1. </w:t>
      </w:r>
      <w:r w:rsidRPr="00073924">
        <w:rPr>
          <w:rFonts w:ascii="Times New Roman" w:hAnsi="Times New Roman"/>
        </w:rPr>
        <w:t>of the Agreement</w:t>
      </w:r>
      <w:r w:rsidR="00EB4ABC" w:rsidRPr="00073924">
        <w:rPr>
          <w:rFonts w:ascii="Times New Roman" w:hAnsi="Times New Roman"/>
        </w:rPr>
        <w:t>.</w:t>
      </w:r>
    </w:p>
    <w:p w14:paraId="347BA6B7" w14:textId="77777777" w:rsidR="007A4AE3" w:rsidRPr="00073924" w:rsidRDefault="007A4AE3" w:rsidP="00517D38">
      <w:pPr>
        <w:rPr>
          <w:szCs w:val="22"/>
        </w:rPr>
      </w:pPr>
      <w:bookmarkStart w:id="3" w:name="_Hlk515456906"/>
    </w:p>
    <w:p w14:paraId="06B7869D" w14:textId="77777777" w:rsidR="00EB4ABC" w:rsidRPr="00073924" w:rsidRDefault="00EB4ABC" w:rsidP="00517D38">
      <w:pPr>
        <w:rPr>
          <w:szCs w:val="22"/>
        </w:rPr>
      </w:pPr>
    </w:p>
    <w:bookmarkEnd w:id="3"/>
    <w:p w14:paraId="49B3D721" w14:textId="77777777" w:rsidR="00012301" w:rsidRPr="00073924" w:rsidRDefault="00012301" w:rsidP="00517D38">
      <w:pPr>
        <w:rPr>
          <w:szCs w:val="22"/>
        </w:rPr>
      </w:pPr>
    </w:p>
    <w:sectPr w:rsidR="00012301" w:rsidRPr="00073924" w:rsidSect="00252F2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008" w:right="1008" w:bottom="1008" w:left="100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92CC" w14:textId="77777777" w:rsidR="008C26CB" w:rsidRDefault="008C26CB">
      <w:r>
        <w:separator/>
      </w:r>
    </w:p>
  </w:endnote>
  <w:endnote w:type="continuationSeparator" w:id="0">
    <w:p w14:paraId="25E2AEAC" w14:textId="77777777" w:rsidR="008C26CB" w:rsidRDefault="008C26CB">
      <w:r>
        <w:continuationSeparator/>
      </w:r>
    </w:p>
  </w:endnote>
  <w:endnote w:type="continuationNotice" w:id="1">
    <w:p w14:paraId="1E18ADEC" w14:textId="77777777" w:rsidR="008C26CB" w:rsidRDefault="008C2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8870" w14:textId="77777777" w:rsidR="00301B33" w:rsidRDefault="00301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B413" w14:textId="77777777" w:rsidR="00301B33" w:rsidRDefault="00301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5707" w14:textId="77777777" w:rsidR="00301B33" w:rsidRDefault="00301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DC6D" w14:textId="77777777" w:rsidR="008C26CB" w:rsidRDefault="008C26CB">
      <w:r>
        <w:separator/>
      </w:r>
    </w:p>
  </w:footnote>
  <w:footnote w:type="continuationSeparator" w:id="0">
    <w:p w14:paraId="3670780D" w14:textId="77777777" w:rsidR="008C26CB" w:rsidRDefault="008C26CB">
      <w:r>
        <w:continuationSeparator/>
      </w:r>
    </w:p>
  </w:footnote>
  <w:footnote w:type="continuationNotice" w:id="1">
    <w:p w14:paraId="6FD363F1" w14:textId="77777777" w:rsidR="008C26CB" w:rsidRDefault="008C26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7E01" w14:textId="5D0A23F4" w:rsidR="000658A2" w:rsidRDefault="00065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2D56" w14:textId="6912309D" w:rsidR="59F5AD4D" w:rsidRDefault="59F5AD4D" w:rsidP="00B65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8E2E" w14:textId="6FA9B824" w:rsidR="000658A2" w:rsidRDefault="00065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7FC"/>
    <w:multiLevelType w:val="multilevel"/>
    <w:tmpl w:val="DA744988"/>
    <w:lvl w:ilvl="0">
      <w:start w:val="1"/>
      <w:numFmt w:val="decimal"/>
      <w:lvlText w:val="%1."/>
      <w:lvlJc w:val="left"/>
      <w:pPr>
        <w:tabs>
          <w:tab w:val="num" w:pos="720"/>
        </w:tabs>
        <w:ind w:left="720" w:hanging="720"/>
      </w:pPr>
      <w:rPr>
        <w:rFonts w:hint="default"/>
        <w:b/>
        <w:bCs w:val="0"/>
      </w:rPr>
    </w:lvl>
    <w:lvl w:ilvl="1">
      <w:start w:val="1"/>
      <w:numFmt w:val="decimal"/>
      <w:lvlText w:val="%1.%2."/>
      <w:lvlJc w:val="left"/>
      <w:pPr>
        <w:ind w:left="1440" w:hanging="720"/>
      </w:pPr>
      <w:rPr>
        <w:rFonts w:hint="default"/>
        <w:b/>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D64BEC"/>
    <w:multiLevelType w:val="multilevel"/>
    <w:tmpl w:val="D0701832"/>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300966"/>
    <w:multiLevelType w:val="multilevel"/>
    <w:tmpl w:val="E75A22A0"/>
    <w:lvl w:ilvl="0">
      <w:start w:val="4"/>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9F44E6"/>
    <w:multiLevelType w:val="multilevel"/>
    <w:tmpl w:val="EC3AF55E"/>
    <w:lvl w:ilvl="0">
      <w:start w:val="1"/>
      <w:numFmt w:val="decimal"/>
      <w:lvlText w:val="%1."/>
      <w:lvlJc w:val="left"/>
      <w:pPr>
        <w:tabs>
          <w:tab w:val="num" w:pos="720"/>
        </w:tabs>
        <w:ind w:left="720" w:hanging="720"/>
      </w:pPr>
      <w:rPr>
        <w:rFonts w:hint="default"/>
        <w:b/>
        <w:bCs w:val="0"/>
      </w:rPr>
    </w:lvl>
    <w:lvl w:ilvl="1">
      <w:start w:val="1"/>
      <w:numFmt w:val="decimal"/>
      <w:lvlText w:val="%1.%2."/>
      <w:lvlJc w:val="left"/>
      <w:pPr>
        <w:ind w:left="1440" w:hanging="720"/>
      </w:pPr>
      <w:rPr>
        <w:rFonts w:hint="default"/>
        <w:b/>
        <w:bCs w:val="0"/>
      </w:rPr>
    </w:lvl>
    <w:lvl w:ilvl="2">
      <w:start w:val="1"/>
      <w:numFmt w:val="lowerLetter"/>
      <w:lvlText w:val="%1.%2.%3."/>
      <w:lvlJc w:val="left"/>
      <w:pPr>
        <w:ind w:left="2160" w:hanging="720"/>
      </w:pPr>
      <w:rPr>
        <w:rFonts w:hint="default"/>
        <w:b/>
        <w:bCs/>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15594C"/>
    <w:multiLevelType w:val="hybridMultilevel"/>
    <w:tmpl w:val="EB72F518"/>
    <w:lvl w:ilvl="0" w:tplc="38CC488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31740"/>
    <w:multiLevelType w:val="multilevel"/>
    <w:tmpl w:val="99CA7C4C"/>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7945D4"/>
    <w:multiLevelType w:val="multilevel"/>
    <w:tmpl w:val="B366D636"/>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b/>
        <w:bCs/>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035074"/>
    <w:multiLevelType w:val="hybridMultilevel"/>
    <w:tmpl w:val="8EC21F90"/>
    <w:lvl w:ilvl="0" w:tplc="1390D194">
      <w:start w:val="1"/>
      <w:numFmt w:val="bullet"/>
      <w:pStyle w:val="Bullet1"/>
      <w:lvlText w:val=""/>
      <w:legacy w:legacy="1" w:legacySpace="0" w:legacyIndent="360"/>
      <w:lvlJc w:val="left"/>
      <w:pPr>
        <w:ind w:left="1080" w:hanging="360"/>
      </w:pPr>
      <w:rPr>
        <w:rFonts w:ascii="Wingdings" w:hAnsi="Wingdings" w:hint="default"/>
        <w:sz w:val="20"/>
      </w:rPr>
    </w:lvl>
    <w:lvl w:ilvl="1" w:tplc="04090003" w:tentative="1">
      <w:start w:val="1"/>
      <w:numFmt w:val="bullet"/>
      <w:lvlText w:val="o"/>
      <w:lvlJc w:val="left"/>
      <w:pPr>
        <w:tabs>
          <w:tab w:val="num" w:pos="-392"/>
        </w:tabs>
        <w:ind w:left="-392" w:hanging="360"/>
      </w:pPr>
      <w:rPr>
        <w:rFonts w:ascii="Courier New" w:hAnsi="Courier New" w:cs="Courier New" w:hint="default"/>
      </w:rPr>
    </w:lvl>
    <w:lvl w:ilvl="2" w:tplc="04090005" w:tentative="1">
      <w:start w:val="1"/>
      <w:numFmt w:val="bullet"/>
      <w:lvlText w:val=""/>
      <w:lvlJc w:val="left"/>
      <w:pPr>
        <w:tabs>
          <w:tab w:val="num" w:pos="328"/>
        </w:tabs>
        <w:ind w:left="328" w:hanging="360"/>
      </w:pPr>
      <w:rPr>
        <w:rFonts w:ascii="Wingdings" w:hAnsi="Wingdings" w:hint="default"/>
      </w:rPr>
    </w:lvl>
    <w:lvl w:ilvl="3" w:tplc="04090001" w:tentative="1">
      <w:start w:val="1"/>
      <w:numFmt w:val="bullet"/>
      <w:lvlText w:val=""/>
      <w:lvlJc w:val="left"/>
      <w:pPr>
        <w:tabs>
          <w:tab w:val="num" w:pos="1048"/>
        </w:tabs>
        <w:ind w:left="1048" w:hanging="360"/>
      </w:pPr>
      <w:rPr>
        <w:rFonts w:ascii="Symbol" w:hAnsi="Symbol" w:hint="default"/>
      </w:rPr>
    </w:lvl>
    <w:lvl w:ilvl="4" w:tplc="04090003" w:tentative="1">
      <w:start w:val="1"/>
      <w:numFmt w:val="bullet"/>
      <w:lvlText w:val="o"/>
      <w:lvlJc w:val="left"/>
      <w:pPr>
        <w:tabs>
          <w:tab w:val="num" w:pos="1768"/>
        </w:tabs>
        <w:ind w:left="1768" w:hanging="360"/>
      </w:pPr>
      <w:rPr>
        <w:rFonts w:ascii="Courier New" w:hAnsi="Courier New" w:cs="Courier New" w:hint="default"/>
      </w:rPr>
    </w:lvl>
    <w:lvl w:ilvl="5" w:tplc="04090005" w:tentative="1">
      <w:start w:val="1"/>
      <w:numFmt w:val="bullet"/>
      <w:lvlText w:val=""/>
      <w:lvlJc w:val="left"/>
      <w:pPr>
        <w:tabs>
          <w:tab w:val="num" w:pos="2488"/>
        </w:tabs>
        <w:ind w:left="2488" w:hanging="360"/>
      </w:pPr>
      <w:rPr>
        <w:rFonts w:ascii="Wingdings" w:hAnsi="Wingdings" w:hint="default"/>
      </w:rPr>
    </w:lvl>
    <w:lvl w:ilvl="6" w:tplc="04090001" w:tentative="1">
      <w:start w:val="1"/>
      <w:numFmt w:val="bullet"/>
      <w:lvlText w:val=""/>
      <w:lvlJc w:val="left"/>
      <w:pPr>
        <w:tabs>
          <w:tab w:val="num" w:pos="3208"/>
        </w:tabs>
        <w:ind w:left="3208" w:hanging="360"/>
      </w:pPr>
      <w:rPr>
        <w:rFonts w:ascii="Symbol" w:hAnsi="Symbol" w:hint="default"/>
      </w:rPr>
    </w:lvl>
    <w:lvl w:ilvl="7" w:tplc="04090003" w:tentative="1">
      <w:start w:val="1"/>
      <w:numFmt w:val="bullet"/>
      <w:lvlText w:val="o"/>
      <w:lvlJc w:val="left"/>
      <w:pPr>
        <w:tabs>
          <w:tab w:val="num" w:pos="3928"/>
        </w:tabs>
        <w:ind w:left="3928" w:hanging="360"/>
      </w:pPr>
      <w:rPr>
        <w:rFonts w:ascii="Courier New" w:hAnsi="Courier New" w:cs="Courier New" w:hint="default"/>
      </w:rPr>
    </w:lvl>
    <w:lvl w:ilvl="8" w:tplc="04090005" w:tentative="1">
      <w:start w:val="1"/>
      <w:numFmt w:val="bullet"/>
      <w:lvlText w:val=""/>
      <w:lvlJc w:val="left"/>
      <w:pPr>
        <w:tabs>
          <w:tab w:val="num" w:pos="4648"/>
        </w:tabs>
        <w:ind w:left="4648" w:hanging="360"/>
      </w:pPr>
      <w:rPr>
        <w:rFonts w:ascii="Wingdings" w:hAnsi="Wingdings" w:hint="default"/>
      </w:rPr>
    </w:lvl>
  </w:abstractNum>
  <w:abstractNum w:abstractNumId="8" w15:restartNumberingAfterBreak="0">
    <w:nsid w:val="10C61C9D"/>
    <w:multiLevelType w:val="multilevel"/>
    <w:tmpl w:val="2F006CAC"/>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33757E"/>
    <w:multiLevelType w:val="multilevel"/>
    <w:tmpl w:val="675EE57E"/>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A02158"/>
    <w:multiLevelType w:val="multilevel"/>
    <w:tmpl w:val="6A4E9122"/>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1D318C"/>
    <w:multiLevelType w:val="multilevel"/>
    <w:tmpl w:val="3A1CB65C"/>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243AEA"/>
    <w:multiLevelType w:val="multilevel"/>
    <w:tmpl w:val="B05088B2"/>
    <w:lvl w:ilvl="0">
      <w:start w:val="2"/>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CA5D35"/>
    <w:multiLevelType w:val="multilevel"/>
    <w:tmpl w:val="F454E7DE"/>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E00D39"/>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32E3D"/>
    <w:multiLevelType w:val="multilevel"/>
    <w:tmpl w:val="11D450F0"/>
    <w:lvl w:ilvl="0">
      <w:start w:val="1"/>
      <w:numFmt w:val="decimal"/>
      <w:lvlText w:val="%1."/>
      <w:lvlJc w:val="left"/>
      <w:pPr>
        <w:tabs>
          <w:tab w:val="num" w:pos="720"/>
        </w:tabs>
        <w:ind w:left="720" w:hanging="720"/>
      </w:pPr>
      <w:rPr>
        <w:rFonts w:hint="default"/>
        <w:b/>
        <w:bCs w:val="0"/>
        <w:strike w:val="0"/>
        <w:color w:val="auto"/>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b/>
        <w:bCs/>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A50C08"/>
    <w:multiLevelType w:val="multilevel"/>
    <w:tmpl w:val="EAC8A574"/>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9C1A14"/>
    <w:multiLevelType w:val="multilevel"/>
    <w:tmpl w:val="675EE57E"/>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80245E"/>
    <w:multiLevelType w:val="multilevel"/>
    <w:tmpl w:val="4B788B9C"/>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7B2B99"/>
    <w:multiLevelType w:val="multilevel"/>
    <w:tmpl w:val="C31A75C0"/>
    <w:lvl w:ilvl="0">
      <w:start w:val="1"/>
      <w:numFmt w:val="decimal"/>
      <w:lvlText w:val="%1."/>
      <w:lvlJc w:val="left"/>
      <w:pPr>
        <w:tabs>
          <w:tab w:val="num" w:pos="720"/>
        </w:tabs>
        <w:ind w:left="720" w:hanging="720"/>
      </w:pPr>
      <w:rPr>
        <w:rFonts w:hint="default"/>
        <w:b/>
        <w:bCs w:val="0"/>
      </w:rPr>
    </w:lvl>
    <w:lvl w:ilvl="1">
      <w:start w:val="1"/>
      <w:numFmt w:val="decimal"/>
      <w:lvlText w:val="%1.%2."/>
      <w:lvlJc w:val="left"/>
      <w:pPr>
        <w:ind w:left="1440" w:hanging="720"/>
      </w:pPr>
      <w:rPr>
        <w:rFonts w:hint="default"/>
        <w:b/>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A07CF8"/>
    <w:multiLevelType w:val="multilevel"/>
    <w:tmpl w:val="8D0688C2"/>
    <w:lvl w:ilvl="0">
      <w:start w:val="1"/>
      <w:numFmt w:val="decimal"/>
      <w:lvlText w:val="%1."/>
      <w:lvlJc w:val="left"/>
      <w:pPr>
        <w:tabs>
          <w:tab w:val="num" w:pos="720"/>
        </w:tabs>
        <w:ind w:left="720" w:hanging="720"/>
      </w:pPr>
      <w:rPr>
        <w:rFonts w:hint="default"/>
        <w:b/>
        <w:bCs w:val="0"/>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6F6C83"/>
    <w:multiLevelType w:val="multilevel"/>
    <w:tmpl w:val="935825C6"/>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0F23A5"/>
    <w:multiLevelType w:val="multilevel"/>
    <w:tmpl w:val="1C428F4E"/>
    <w:lvl w:ilvl="0">
      <w:start w:val="5"/>
      <w:numFmt w:val="decimal"/>
      <w:lvlText w:val="%1."/>
      <w:lvlJc w:val="left"/>
      <w:pPr>
        <w:tabs>
          <w:tab w:val="num" w:pos="720"/>
        </w:tabs>
        <w:ind w:left="720" w:hanging="720"/>
      </w:pPr>
      <w:rPr>
        <w:rFonts w:hint="default"/>
        <w:b w:val="0"/>
        <w:bCs w:val="0"/>
        <w:color w:val="auto"/>
      </w:rPr>
    </w:lvl>
    <w:lvl w:ilvl="1">
      <w:start w:val="1"/>
      <w:numFmt w:val="decimal"/>
      <w:lvlText w:val="%1.%2."/>
      <w:lvlJc w:val="left"/>
      <w:pPr>
        <w:ind w:left="1440" w:hanging="720"/>
      </w:pPr>
      <w:rPr>
        <w:rFonts w:hint="default"/>
        <w:b/>
        <w:bCs/>
        <w:color w:val="auto"/>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FC38C5"/>
    <w:multiLevelType w:val="hybridMultilevel"/>
    <w:tmpl w:val="1592CBD6"/>
    <w:lvl w:ilvl="0" w:tplc="FADED81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06204"/>
    <w:multiLevelType w:val="multilevel"/>
    <w:tmpl w:val="EAB4AE14"/>
    <w:lvl w:ilvl="0">
      <w:start w:val="1"/>
      <w:numFmt w:val="decimal"/>
      <w:lvlText w:val="%1."/>
      <w:lvlJc w:val="left"/>
      <w:pPr>
        <w:tabs>
          <w:tab w:val="num" w:pos="720"/>
        </w:tabs>
        <w:ind w:left="720" w:hanging="720"/>
      </w:pPr>
      <w:rPr>
        <w:rFonts w:hint="default"/>
        <w:b/>
        <w:bCs w:val="0"/>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B82B2E"/>
    <w:multiLevelType w:val="multilevel"/>
    <w:tmpl w:val="F39C3CBA"/>
    <w:lvl w:ilvl="0">
      <w:start w:val="1"/>
      <w:numFmt w:val="decimal"/>
      <w:lvlText w:val="%1."/>
      <w:lvlJc w:val="left"/>
      <w:pPr>
        <w:tabs>
          <w:tab w:val="num" w:pos="720"/>
        </w:tabs>
        <w:ind w:left="720" w:hanging="720"/>
      </w:pPr>
      <w:rPr>
        <w:rFonts w:hint="default"/>
        <w:b/>
        <w:bCs w:val="0"/>
        <w:strike w:val="0"/>
        <w:color w:val="auto"/>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b/>
        <w:bCs/>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D620A1"/>
    <w:multiLevelType w:val="multilevel"/>
    <w:tmpl w:val="281E747A"/>
    <w:lvl w:ilvl="0">
      <w:start w:val="1"/>
      <w:numFmt w:val="decimal"/>
      <w:lvlText w:val="%1."/>
      <w:lvlJc w:val="left"/>
      <w:pPr>
        <w:tabs>
          <w:tab w:val="num" w:pos="720"/>
        </w:tabs>
        <w:ind w:left="720" w:hanging="720"/>
      </w:pPr>
      <w:rPr>
        <w:rFonts w:hint="default"/>
        <w:b w:val="0"/>
        <w:bCs/>
        <w:strike w:val="0"/>
        <w:color w:val="auto"/>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F00D47"/>
    <w:multiLevelType w:val="multilevel"/>
    <w:tmpl w:val="6E46EE3C"/>
    <w:lvl w:ilvl="0">
      <w:start w:val="1"/>
      <w:numFmt w:val="decimal"/>
      <w:lvlText w:val="%1."/>
      <w:lvlJc w:val="left"/>
      <w:pPr>
        <w:tabs>
          <w:tab w:val="num" w:pos="720"/>
        </w:tabs>
        <w:ind w:left="720" w:hanging="720"/>
      </w:pPr>
      <w:rPr>
        <w:rFonts w:hint="default"/>
        <w:b/>
        <w:bCs w:val="0"/>
        <w:strike w:val="0"/>
        <w:color w:val="auto"/>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D45A49"/>
    <w:multiLevelType w:val="multilevel"/>
    <w:tmpl w:val="CEECE858"/>
    <w:lvl w:ilvl="0">
      <w:start w:val="1"/>
      <w:numFmt w:val="decimal"/>
      <w:lvlText w:val="%1."/>
      <w:lvlJc w:val="left"/>
      <w:pPr>
        <w:tabs>
          <w:tab w:val="num" w:pos="720"/>
        </w:tabs>
        <w:ind w:left="720" w:hanging="720"/>
      </w:pPr>
      <w:rPr>
        <w:rFonts w:hint="default"/>
        <w:b/>
        <w:bCs w:val="0"/>
      </w:rPr>
    </w:lvl>
    <w:lvl w:ilvl="1">
      <w:start w:val="1"/>
      <w:numFmt w:val="decimal"/>
      <w:lvlText w:val="%1.%2."/>
      <w:lvlJc w:val="left"/>
      <w:pPr>
        <w:ind w:left="1440" w:hanging="720"/>
      </w:pPr>
      <w:rPr>
        <w:rFonts w:hint="default"/>
        <w:b/>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604423"/>
    <w:multiLevelType w:val="multilevel"/>
    <w:tmpl w:val="D0701832"/>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D2015F"/>
    <w:multiLevelType w:val="multilevel"/>
    <w:tmpl w:val="66FC67B4"/>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FF3D47"/>
    <w:multiLevelType w:val="multilevel"/>
    <w:tmpl w:val="597AF6F8"/>
    <w:lvl w:ilvl="0">
      <w:start w:val="1"/>
      <w:numFmt w:val="decimal"/>
      <w:lvlText w:val="%1."/>
      <w:lvlJc w:val="left"/>
      <w:pPr>
        <w:tabs>
          <w:tab w:val="num" w:pos="720"/>
        </w:tabs>
        <w:ind w:left="720" w:hanging="720"/>
      </w:pPr>
      <w:rPr>
        <w:rFonts w:hint="default"/>
        <w:b w:val="0"/>
        <w:bCs/>
      </w:rPr>
    </w:lvl>
    <w:lvl w:ilvl="1">
      <w:start w:val="1"/>
      <w:numFmt w:val="decimal"/>
      <w:lvlText w:val="%1.%2."/>
      <w:lvlJc w:val="left"/>
      <w:pPr>
        <w:ind w:left="1440" w:hanging="720"/>
      </w:pPr>
      <w:rPr>
        <w:rFonts w:hint="default"/>
        <w:b w:val="0"/>
        <w:bCs w:val="0"/>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6E6460"/>
    <w:multiLevelType w:val="multilevel"/>
    <w:tmpl w:val="696CD002"/>
    <w:lvl w:ilvl="0">
      <w:start w:val="1"/>
      <w:numFmt w:val="decimal"/>
      <w:lvlText w:val="%1."/>
      <w:lvlJc w:val="left"/>
      <w:pPr>
        <w:tabs>
          <w:tab w:val="num" w:pos="720"/>
        </w:tabs>
        <w:ind w:left="720" w:hanging="720"/>
      </w:pPr>
      <w:rPr>
        <w:rFonts w:hint="default"/>
        <w:b/>
        <w:bCs w:val="0"/>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A71A6F"/>
    <w:multiLevelType w:val="multilevel"/>
    <w:tmpl w:val="EECA5884"/>
    <w:lvl w:ilvl="0">
      <w:start w:val="1"/>
      <w:numFmt w:val="decimal"/>
      <w:lvlText w:val="%1."/>
      <w:lvlJc w:val="left"/>
      <w:pPr>
        <w:tabs>
          <w:tab w:val="num" w:pos="720"/>
        </w:tabs>
        <w:ind w:left="720" w:hanging="720"/>
      </w:pPr>
      <w:rPr>
        <w:rFonts w:hint="default"/>
        <w:b/>
        <w:bCs w:val="0"/>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B219C2"/>
    <w:multiLevelType w:val="multilevel"/>
    <w:tmpl w:val="B05088B2"/>
    <w:lvl w:ilvl="0">
      <w:start w:val="2"/>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0321E9"/>
    <w:multiLevelType w:val="multilevel"/>
    <w:tmpl w:val="EAC8A574"/>
    <w:lvl w:ilvl="0">
      <w:start w:val="1"/>
      <w:numFmt w:val="decimal"/>
      <w:lvlText w:val="%1."/>
      <w:lvlJc w:val="left"/>
      <w:pPr>
        <w:tabs>
          <w:tab w:val="num" w:pos="720"/>
        </w:tabs>
        <w:ind w:left="720" w:hanging="720"/>
      </w:pPr>
      <w:rPr>
        <w:rFonts w:hint="default"/>
        <w:b/>
        <w:bCs/>
      </w:rPr>
    </w:lvl>
    <w:lvl w:ilvl="1">
      <w:start w:val="1"/>
      <w:numFmt w:val="decimal"/>
      <w:lvlText w:val="%1.%2."/>
      <w:lvlJc w:val="left"/>
      <w:pPr>
        <w:ind w:left="1440" w:hanging="720"/>
      </w:pPr>
      <w:rPr>
        <w:rFonts w:hint="default"/>
        <w:b/>
        <w:bCs/>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7782545">
    <w:abstractNumId w:val="7"/>
  </w:num>
  <w:num w:numId="2" w16cid:durableId="368844103">
    <w:abstractNumId w:val="23"/>
  </w:num>
  <w:num w:numId="3" w16cid:durableId="1758209482">
    <w:abstractNumId w:val="6"/>
  </w:num>
  <w:num w:numId="4" w16cid:durableId="1883247763">
    <w:abstractNumId w:val="22"/>
  </w:num>
  <w:num w:numId="5" w16cid:durableId="2104260397">
    <w:abstractNumId w:val="13"/>
  </w:num>
  <w:num w:numId="6" w16cid:durableId="957373885">
    <w:abstractNumId w:val="32"/>
  </w:num>
  <w:num w:numId="7" w16cid:durableId="1964920457">
    <w:abstractNumId w:val="3"/>
  </w:num>
  <w:num w:numId="8" w16cid:durableId="468864055">
    <w:abstractNumId w:val="1"/>
  </w:num>
  <w:num w:numId="9" w16cid:durableId="364253667">
    <w:abstractNumId w:val="16"/>
  </w:num>
  <w:num w:numId="10" w16cid:durableId="1752696801">
    <w:abstractNumId w:val="17"/>
  </w:num>
  <w:num w:numId="11" w16cid:durableId="2078745221">
    <w:abstractNumId w:val="30"/>
  </w:num>
  <w:num w:numId="12" w16cid:durableId="1847675003">
    <w:abstractNumId w:val="21"/>
  </w:num>
  <w:num w:numId="13" w16cid:durableId="1395201429">
    <w:abstractNumId w:val="28"/>
  </w:num>
  <w:num w:numId="14" w16cid:durableId="382599857">
    <w:abstractNumId w:val="8"/>
  </w:num>
  <w:num w:numId="15" w16cid:durableId="1911387095">
    <w:abstractNumId w:val="19"/>
  </w:num>
  <w:num w:numId="16" w16cid:durableId="1314260406">
    <w:abstractNumId w:val="24"/>
  </w:num>
  <w:num w:numId="17" w16cid:durableId="1031105225">
    <w:abstractNumId w:val="5"/>
  </w:num>
  <w:num w:numId="18" w16cid:durableId="1652100349">
    <w:abstractNumId w:val="11"/>
  </w:num>
  <w:num w:numId="19" w16cid:durableId="1980498974">
    <w:abstractNumId w:val="33"/>
  </w:num>
  <w:num w:numId="20" w16cid:durableId="873614892">
    <w:abstractNumId w:val="10"/>
  </w:num>
  <w:num w:numId="21" w16cid:durableId="852111577">
    <w:abstractNumId w:val="18"/>
  </w:num>
  <w:num w:numId="22" w16cid:durableId="1051927004">
    <w:abstractNumId w:val="31"/>
  </w:num>
  <w:num w:numId="23" w16cid:durableId="750154108">
    <w:abstractNumId w:val="20"/>
  </w:num>
  <w:num w:numId="24" w16cid:durableId="2023242219">
    <w:abstractNumId w:val="25"/>
  </w:num>
  <w:num w:numId="25" w16cid:durableId="681054398">
    <w:abstractNumId w:val="27"/>
  </w:num>
  <w:num w:numId="26" w16cid:durableId="1987590893">
    <w:abstractNumId w:val="0"/>
  </w:num>
  <w:num w:numId="27" w16cid:durableId="1621765650">
    <w:abstractNumId w:val="4"/>
  </w:num>
  <w:num w:numId="28" w16cid:durableId="722756441">
    <w:abstractNumId w:val="15"/>
  </w:num>
  <w:num w:numId="29" w16cid:durableId="495151026">
    <w:abstractNumId w:val="26"/>
  </w:num>
  <w:num w:numId="30" w16cid:durableId="1699235226">
    <w:abstractNumId w:val="35"/>
  </w:num>
  <w:num w:numId="31" w16cid:durableId="1537766284">
    <w:abstractNumId w:val="34"/>
  </w:num>
  <w:num w:numId="32" w16cid:durableId="414782632">
    <w:abstractNumId w:val="9"/>
  </w:num>
  <w:num w:numId="33" w16cid:durableId="553395763">
    <w:abstractNumId w:val="2"/>
  </w:num>
  <w:num w:numId="34" w16cid:durableId="1150830781">
    <w:abstractNumId w:val="29"/>
  </w:num>
  <w:num w:numId="35" w16cid:durableId="1868828721">
    <w:abstractNumId w:val="12"/>
  </w:num>
  <w:num w:numId="36" w16cid:durableId="2051609582">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s9rrudq/g+cWjz/1xOBbues+c5P1NDa+L4kPNybRqcdNDVvvbnxEMhY78QA2DUgARaI5nWKrddZKs1itiatArQ==" w:salt="2QHMJ4cKCtvuRdXp0ND78w=="/>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xNLE0sTA3MDOzsDRR0lEKTi0uzszPAykwNqoFAJcKIaEtAAAA"/>
    <w:docVar w:name="AptDocProperties" w:val="H4sIAAAAAAAEAIWRbWuDMBSFf5EoKtbCJZBqSlNWdU1auk8h1muRTS0x/f/TsVJbGLuf7ss5hwcu0KtN+3Nh+isa2+BAYBxvLXaWp6TEOsaqXDh6iZ4Thn7lxFEdOJEfYFxXfokLD9yZAcRa5astS6SSHwUjY7q9DUrRQgpFLwZxEip1BvdFOTlXB8EzJsT9kOSZZCf5T8pfrhnLSKaDNJLeVE37KfsD5XOECX2H5oK8q3sCRzRD03cE3Ec3Oz98R7YXPM9IOA+7L2GjB9FqY7nFlqz114DgPu2ASkmTzY5lPwhetPxlzN62uH+nJ3CfFeP8+q9vb9eoNsIBAAA="/>
  </w:docVars>
  <w:rsids>
    <w:rsidRoot w:val="00256A19"/>
    <w:rsid w:val="00005A4E"/>
    <w:rsid w:val="000066D9"/>
    <w:rsid w:val="00011265"/>
    <w:rsid w:val="00012301"/>
    <w:rsid w:val="00021040"/>
    <w:rsid w:val="000228C1"/>
    <w:rsid w:val="00022D65"/>
    <w:rsid w:val="00024623"/>
    <w:rsid w:val="00024B84"/>
    <w:rsid w:val="00024E35"/>
    <w:rsid w:val="00025473"/>
    <w:rsid w:val="000259B6"/>
    <w:rsid w:val="0002662A"/>
    <w:rsid w:val="0002795C"/>
    <w:rsid w:val="00027F16"/>
    <w:rsid w:val="00027FE0"/>
    <w:rsid w:val="00030426"/>
    <w:rsid w:val="00032764"/>
    <w:rsid w:val="0003401E"/>
    <w:rsid w:val="00035CF0"/>
    <w:rsid w:val="00036410"/>
    <w:rsid w:val="00037473"/>
    <w:rsid w:val="0003772E"/>
    <w:rsid w:val="00037D62"/>
    <w:rsid w:val="00042C7A"/>
    <w:rsid w:val="000432B1"/>
    <w:rsid w:val="0004496D"/>
    <w:rsid w:val="000450BC"/>
    <w:rsid w:val="000469B3"/>
    <w:rsid w:val="00051AF9"/>
    <w:rsid w:val="00051D71"/>
    <w:rsid w:val="000537F3"/>
    <w:rsid w:val="00053FAA"/>
    <w:rsid w:val="000556C0"/>
    <w:rsid w:val="000576D0"/>
    <w:rsid w:val="00062BF7"/>
    <w:rsid w:val="000633F5"/>
    <w:rsid w:val="000643B7"/>
    <w:rsid w:val="000644A3"/>
    <w:rsid w:val="00064CB5"/>
    <w:rsid w:val="000658A2"/>
    <w:rsid w:val="00065EE7"/>
    <w:rsid w:val="00067931"/>
    <w:rsid w:val="0007034F"/>
    <w:rsid w:val="00071252"/>
    <w:rsid w:val="000718F7"/>
    <w:rsid w:val="00072171"/>
    <w:rsid w:val="00072501"/>
    <w:rsid w:val="00072CEB"/>
    <w:rsid w:val="00073917"/>
    <w:rsid w:val="00073924"/>
    <w:rsid w:val="00073D83"/>
    <w:rsid w:val="000750D7"/>
    <w:rsid w:val="0008677D"/>
    <w:rsid w:val="00090BD5"/>
    <w:rsid w:val="00094E5A"/>
    <w:rsid w:val="0009585D"/>
    <w:rsid w:val="000963A9"/>
    <w:rsid w:val="0009694C"/>
    <w:rsid w:val="000A4669"/>
    <w:rsid w:val="000A71D6"/>
    <w:rsid w:val="000B044E"/>
    <w:rsid w:val="000B083E"/>
    <w:rsid w:val="000B2573"/>
    <w:rsid w:val="000B2670"/>
    <w:rsid w:val="000B620D"/>
    <w:rsid w:val="000B76FA"/>
    <w:rsid w:val="000C3434"/>
    <w:rsid w:val="000C4299"/>
    <w:rsid w:val="000C5DC7"/>
    <w:rsid w:val="000C610F"/>
    <w:rsid w:val="000C728A"/>
    <w:rsid w:val="000D5CE0"/>
    <w:rsid w:val="000D5CF4"/>
    <w:rsid w:val="000D5D9F"/>
    <w:rsid w:val="000D62CE"/>
    <w:rsid w:val="000D6BE2"/>
    <w:rsid w:val="000D7011"/>
    <w:rsid w:val="000D7D54"/>
    <w:rsid w:val="000E10AD"/>
    <w:rsid w:val="000E143A"/>
    <w:rsid w:val="000E6571"/>
    <w:rsid w:val="000F30BC"/>
    <w:rsid w:val="000F36DB"/>
    <w:rsid w:val="000F5D44"/>
    <w:rsid w:val="000F5E4E"/>
    <w:rsid w:val="00102911"/>
    <w:rsid w:val="00103116"/>
    <w:rsid w:val="00103FA4"/>
    <w:rsid w:val="00104F63"/>
    <w:rsid w:val="00105019"/>
    <w:rsid w:val="00112C20"/>
    <w:rsid w:val="00115EEF"/>
    <w:rsid w:val="0012110D"/>
    <w:rsid w:val="00121A91"/>
    <w:rsid w:val="00122A11"/>
    <w:rsid w:val="00122E4F"/>
    <w:rsid w:val="0013307C"/>
    <w:rsid w:val="001342D0"/>
    <w:rsid w:val="00134EB3"/>
    <w:rsid w:val="00135125"/>
    <w:rsid w:val="00135A1A"/>
    <w:rsid w:val="00136081"/>
    <w:rsid w:val="00136399"/>
    <w:rsid w:val="00137E82"/>
    <w:rsid w:val="00142416"/>
    <w:rsid w:val="00142B3D"/>
    <w:rsid w:val="00144FCE"/>
    <w:rsid w:val="001451FC"/>
    <w:rsid w:val="0014521C"/>
    <w:rsid w:val="00145EA3"/>
    <w:rsid w:val="001509C8"/>
    <w:rsid w:val="00150EDA"/>
    <w:rsid w:val="0015401E"/>
    <w:rsid w:val="00155DA3"/>
    <w:rsid w:val="00156321"/>
    <w:rsid w:val="00161132"/>
    <w:rsid w:val="00162F0E"/>
    <w:rsid w:val="00163176"/>
    <w:rsid w:val="001646B7"/>
    <w:rsid w:val="00165087"/>
    <w:rsid w:val="001650BB"/>
    <w:rsid w:val="00165C65"/>
    <w:rsid w:val="00166BBC"/>
    <w:rsid w:val="00166E76"/>
    <w:rsid w:val="00171669"/>
    <w:rsid w:val="001726FF"/>
    <w:rsid w:val="0017626D"/>
    <w:rsid w:val="001762B9"/>
    <w:rsid w:val="00177843"/>
    <w:rsid w:val="0018019E"/>
    <w:rsid w:val="001803D2"/>
    <w:rsid w:val="0018072C"/>
    <w:rsid w:val="00182C4F"/>
    <w:rsid w:val="00184790"/>
    <w:rsid w:val="00186951"/>
    <w:rsid w:val="00193E7B"/>
    <w:rsid w:val="001944E8"/>
    <w:rsid w:val="00195AAE"/>
    <w:rsid w:val="00196EEE"/>
    <w:rsid w:val="001A39E3"/>
    <w:rsid w:val="001A5247"/>
    <w:rsid w:val="001B3950"/>
    <w:rsid w:val="001B4B3A"/>
    <w:rsid w:val="001B613C"/>
    <w:rsid w:val="001B6683"/>
    <w:rsid w:val="001B6B2B"/>
    <w:rsid w:val="001C1FB5"/>
    <w:rsid w:val="001C36E8"/>
    <w:rsid w:val="001C53C2"/>
    <w:rsid w:val="001C71B8"/>
    <w:rsid w:val="001C7CE4"/>
    <w:rsid w:val="001D0F75"/>
    <w:rsid w:val="001D1415"/>
    <w:rsid w:val="001D1C8A"/>
    <w:rsid w:val="001D1F46"/>
    <w:rsid w:val="001D4B90"/>
    <w:rsid w:val="001D7C91"/>
    <w:rsid w:val="001E3788"/>
    <w:rsid w:val="001E41A9"/>
    <w:rsid w:val="001E546F"/>
    <w:rsid w:val="001E552A"/>
    <w:rsid w:val="001E776D"/>
    <w:rsid w:val="001F41B1"/>
    <w:rsid w:val="001F602D"/>
    <w:rsid w:val="00201A84"/>
    <w:rsid w:val="00204447"/>
    <w:rsid w:val="0021143C"/>
    <w:rsid w:val="002119DD"/>
    <w:rsid w:val="00212E7B"/>
    <w:rsid w:val="00215E1F"/>
    <w:rsid w:val="0021617B"/>
    <w:rsid w:val="0021675A"/>
    <w:rsid w:val="002172B7"/>
    <w:rsid w:val="00217BC0"/>
    <w:rsid w:val="00221E18"/>
    <w:rsid w:val="00223A10"/>
    <w:rsid w:val="00232D53"/>
    <w:rsid w:val="00232DAA"/>
    <w:rsid w:val="00233158"/>
    <w:rsid w:val="00233770"/>
    <w:rsid w:val="00233FBD"/>
    <w:rsid w:val="00234659"/>
    <w:rsid w:val="00235894"/>
    <w:rsid w:val="0023624E"/>
    <w:rsid w:val="00237C0D"/>
    <w:rsid w:val="00241696"/>
    <w:rsid w:val="00242088"/>
    <w:rsid w:val="00242AD6"/>
    <w:rsid w:val="00244064"/>
    <w:rsid w:val="0024433C"/>
    <w:rsid w:val="00245C72"/>
    <w:rsid w:val="00250A4E"/>
    <w:rsid w:val="00251539"/>
    <w:rsid w:val="00252C55"/>
    <w:rsid w:val="00252F26"/>
    <w:rsid w:val="00254274"/>
    <w:rsid w:val="00254D65"/>
    <w:rsid w:val="00256A19"/>
    <w:rsid w:val="0025718B"/>
    <w:rsid w:val="00261713"/>
    <w:rsid w:val="00263D20"/>
    <w:rsid w:val="002673EB"/>
    <w:rsid w:val="00267ECE"/>
    <w:rsid w:val="00270B29"/>
    <w:rsid w:val="002713AD"/>
    <w:rsid w:val="00272F43"/>
    <w:rsid w:val="00274CED"/>
    <w:rsid w:val="00275E34"/>
    <w:rsid w:val="0028398E"/>
    <w:rsid w:val="00283F4D"/>
    <w:rsid w:val="00284068"/>
    <w:rsid w:val="00285825"/>
    <w:rsid w:val="00285C4A"/>
    <w:rsid w:val="00287E41"/>
    <w:rsid w:val="002906EC"/>
    <w:rsid w:val="00291ED6"/>
    <w:rsid w:val="00292DAA"/>
    <w:rsid w:val="00294814"/>
    <w:rsid w:val="00296319"/>
    <w:rsid w:val="00297077"/>
    <w:rsid w:val="002A61D7"/>
    <w:rsid w:val="002B11CE"/>
    <w:rsid w:val="002B149B"/>
    <w:rsid w:val="002B34D1"/>
    <w:rsid w:val="002B5714"/>
    <w:rsid w:val="002B67E9"/>
    <w:rsid w:val="002B723C"/>
    <w:rsid w:val="002B7526"/>
    <w:rsid w:val="002C3977"/>
    <w:rsid w:val="002C45D9"/>
    <w:rsid w:val="002C5087"/>
    <w:rsid w:val="002C7BB8"/>
    <w:rsid w:val="002D0D78"/>
    <w:rsid w:val="002D17FF"/>
    <w:rsid w:val="002D204E"/>
    <w:rsid w:val="002D2C39"/>
    <w:rsid w:val="002D3333"/>
    <w:rsid w:val="002D40D0"/>
    <w:rsid w:val="002D552C"/>
    <w:rsid w:val="002D6435"/>
    <w:rsid w:val="002D69BB"/>
    <w:rsid w:val="002D6FBD"/>
    <w:rsid w:val="002D705D"/>
    <w:rsid w:val="002E06BD"/>
    <w:rsid w:val="002E31EA"/>
    <w:rsid w:val="002E43F5"/>
    <w:rsid w:val="002E4981"/>
    <w:rsid w:val="002E4A83"/>
    <w:rsid w:val="002E5709"/>
    <w:rsid w:val="002E58B5"/>
    <w:rsid w:val="002F198E"/>
    <w:rsid w:val="002F26AC"/>
    <w:rsid w:val="002F2829"/>
    <w:rsid w:val="002F4C48"/>
    <w:rsid w:val="002F6ED0"/>
    <w:rsid w:val="002F7115"/>
    <w:rsid w:val="00300324"/>
    <w:rsid w:val="00301AFF"/>
    <w:rsid w:val="00301B33"/>
    <w:rsid w:val="00301C2D"/>
    <w:rsid w:val="003023D0"/>
    <w:rsid w:val="00303722"/>
    <w:rsid w:val="00304179"/>
    <w:rsid w:val="003043B6"/>
    <w:rsid w:val="00305AC2"/>
    <w:rsid w:val="00306184"/>
    <w:rsid w:val="00306748"/>
    <w:rsid w:val="003120E0"/>
    <w:rsid w:val="003128E6"/>
    <w:rsid w:val="00312984"/>
    <w:rsid w:val="003140A9"/>
    <w:rsid w:val="00314EC0"/>
    <w:rsid w:val="003202CC"/>
    <w:rsid w:val="00324063"/>
    <w:rsid w:val="00324B88"/>
    <w:rsid w:val="00324E8F"/>
    <w:rsid w:val="0032638D"/>
    <w:rsid w:val="00326D53"/>
    <w:rsid w:val="00330526"/>
    <w:rsid w:val="00330BAD"/>
    <w:rsid w:val="003324C3"/>
    <w:rsid w:val="00333151"/>
    <w:rsid w:val="00336E9D"/>
    <w:rsid w:val="0033766E"/>
    <w:rsid w:val="00337CA7"/>
    <w:rsid w:val="0034139B"/>
    <w:rsid w:val="003451CD"/>
    <w:rsid w:val="00350082"/>
    <w:rsid w:val="00350488"/>
    <w:rsid w:val="00350B3B"/>
    <w:rsid w:val="003517DC"/>
    <w:rsid w:val="00353BE6"/>
    <w:rsid w:val="00355987"/>
    <w:rsid w:val="00355ED0"/>
    <w:rsid w:val="00356189"/>
    <w:rsid w:val="00356D2A"/>
    <w:rsid w:val="00357D7D"/>
    <w:rsid w:val="00361015"/>
    <w:rsid w:val="00362BF3"/>
    <w:rsid w:val="00363567"/>
    <w:rsid w:val="00363AD3"/>
    <w:rsid w:val="00363B49"/>
    <w:rsid w:val="00365BE0"/>
    <w:rsid w:val="003710F6"/>
    <w:rsid w:val="00372A35"/>
    <w:rsid w:val="0037415B"/>
    <w:rsid w:val="0037462B"/>
    <w:rsid w:val="0037771C"/>
    <w:rsid w:val="00380509"/>
    <w:rsid w:val="0038163A"/>
    <w:rsid w:val="003826FD"/>
    <w:rsid w:val="00385A65"/>
    <w:rsid w:val="003867E8"/>
    <w:rsid w:val="00387604"/>
    <w:rsid w:val="00387CE1"/>
    <w:rsid w:val="003958FF"/>
    <w:rsid w:val="00396AE7"/>
    <w:rsid w:val="003A5C6E"/>
    <w:rsid w:val="003B0189"/>
    <w:rsid w:val="003B1490"/>
    <w:rsid w:val="003B2DC9"/>
    <w:rsid w:val="003B4E18"/>
    <w:rsid w:val="003B5BE8"/>
    <w:rsid w:val="003C0459"/>
    <w:rsid w:val="003C43EA"/>
    <w:rsid w:val="003C5E09"/>
    <w:rsid w:val="003D1762"/>
    <w:rsid w:val="003D5E47"/>
    <w:rsid w:val="003D7523"/>
    <w:rsid w:val="003E0EB9"/>
    <w:rsid w:val="003E1FE2"/>
    <w:rsid w:val="003E2D73"/>
    <w:rsid w:val="003E30CB"/>
    <w:rsid w:val="003E326D"/>
    <w:rsid w:val="003E6287"/>
    <w:rsid w:val="003F2074"/>
    <w:rsid w:val="003F3624"/>
    <w:rsid w:val="003F4235"/>
    <w:rsid w:val="003F4262"/>
    <w:rsid w:val="003F4EC1"/>
    <w:rsid w:val="003F5FAF"/>
    <w:rsid w:val="003F69AD"/>
    <w:rsid w:val="003F7BE1"/>
    <w:rsid w:val="00400385"/>
    <w:rsid w:val="004027E6"/>
    <w:rsid w:val="0040374F"/>
    <w:rsid w:val="004042E6"/>
    <w:rsid w:val="00404C7D"/>
    <w:rsid w:val="00404CB4"/>
    <w:rsid w:val="00404E6E"/>
    <w:rsid w:val="00405381"/>
    <w:rsid w:val="00410C21"/>
    <w:rsid w:val="0041272E"/>
    <w:rsid w:val="00412A03"/>
    <w:rsid w:val="00413265"/>
    <w:rsid w:val="00413603"/>
    <w:rsid w:val="00414ED4"/>
    <w:rsid w:val="00416375"/>
    <w:rsid w:val="00420DB0"/>
    <w:rsid w:val="0042149F"/>
    <w:rsid w:val="00421762"/>
    <w:rsid w:val="0042363B"/>
    <w:rsid w:val="004252ED"/>
    <w:rsid w:val="004276A4"/>
    <w:rsid w:val="004277A9"/>
    <w:rsid w:val="004367C3"/>
    <w:rsid w:val="00437844"/>
    <w:rsid w:val="00442B9E"/>
    <w:rsid w:val="00446B01"/>
    <w:rsid w:val="00446B18"/>
    <w:rsid w:val="00447F6F"/>
    <w:rsid w:val="00450FD8"/>
    <w:rsid w:val="00452892"/>
    <w:rsid w:val="00453B2D"/>
    <w:rsid w:val="00453D94"/>
    <w:rsid w:val="00456108"/>
    <w:rsid w:val="0045643C"/>
    <w:rsid w:val="00460CAB"/>
    <w:rsid w:val="00461335"/>
    <w:rsid w:val="0046475F"/>
    <w:rsid w:val="00465DF6"/>
    <w:rsid w:val="004668EE"/>
    <w:rsid w:val="00467301"/>
    <w:rsid w:val="00467305"/>
    <w:rsid w:val="004677E7"/>
    <w:rsid w:val="0047108B"/>
    <w:rsid w:val="00473103"/>
    <w:rsid w:val="00474315"/>
    <w:rsid w:val="00476646"/>
    <w:rsid w:val="00476802"/>
    <w:rsid w:val="00477037"/>
    <w:rsid w:val="00480830"/>
    <w:rsid w:val="00481603"/>
    <w:rsid w:val="00481B74"/>
    <w:rsid w:val="00481C38"/>
    <w:rsid w:val="0048572E"/>
    <w:rsid w:val="004878DB"/>
    <w:rsid w:val="004879A2"/>
    <w:rsid w:val="00490FFC"/>
    <w:rsid w:val="004945C3"/>
    <w:rsid w:val="00495CF3"/>
    <w:rsid w:val="004962E3"/>
    <w:rsid w:val="0049691A"/>
    <w:rsid w:val="00497AD2"/>
    <w:rsid w:val="004A05A2"/>
    <w:rsid w:val="004A1703"/>
    <w:rsid w:val="004A420E"/>
    <w:rsid w:val="004A5604"/>
    <w:rsid w:val="004A717C"/>
    <w:rsid w:val="004A763B"/>
    <w:rsid w:val="004A7A28"/>
    <w:rsid w:val="004A7A66"/>
    <w:rsid w:val="004B203C"/>
    <w:rsid w:val="004B2089"/>
    <w:rsid w:val="004B235F"/>
    <w:rsid w:val="004B31E9"/>
    <w:rsid w:val="004B3FD5"/>
    <w:rsid w:val="004B4075"/>
    <w:rsid w:val="004C208F"/>
    <w:rsid w:val="004C397B"/>
    <w:rsid w:val="004C4EA7"/>
    <w:rsid w:val="004D3789"/>
    <w:rsid w:val="004D5311"/>
    <w:rsid w:val="004D5BEF"/>
    <w:rsid w:val="004E0BB3"/>
    <w:rsid w:val="004E1A28"/>
    <w:rsid w:val="004E2CB0"/>
    <w:rsid w:val="004E3358"/>
    <w:rsid w:val="004E5080"/>
    <w:rsid w:val="004E5B14"/>
    <w:rsid w:val="004F0EC4"/>
    <w:rsid w:val="004F2127"/>
    <w:rsid w:val="004F35AE"/>
    <w:rsid w:val="004F3F45"/>
    <w:rsid w:val="004F49BD"/>
    <w:rsid w:val="004F622B"/>
    <w:rsid w:val="004F738C"/>
    <w:rsid w:val="00500229"/>
    <w:rsid w:val="00506002"/>
    <w:rsid w:val="00506A50"/>
    <w:rsid w:val="0051110C"/>
    <w:rsid w:val="00512576"/>
    <w:rsid w:val="00512D53"/>
    <w:rsid w:val="0051354C"/>
    <w:rsid w:val="00514357"/>
    <w:rsid w:val="00515038"/>
    <w:rsid w:val="00515BA1"/>
    <w:rsid w:val="00516EE1"/>
    <w:rsid w:val="00517232"/>
    <w:rsid w:val="00517D38"/>
    <w:rsid w:val="005210D3"/>
    <w:rsid w:val="0052129A"/>
    <w:rsid w:val="00526FA2"/>
    <w:rsid w:val="00530E5A"/>
    <w:rsid w:val="00532156"/>
    <w:rsid w:val="005322E9"/>
    <w:rsid w:val="00532BA6"/>
    <w:rsid w:val="005339AF"/>
    <w:rsid w:val="00534228"/>
    <w:rsid w:val="005359F4"/>
    <w:rsid w:val="00544CCE"/>
    <w:rsid w:val="00545BC0"/>
    <w:rsid w:val="00550F25"/>
    <w:rsid w:val="00551AAC"/>
    <w:rsid w:val="00551AE2"/>
    <w:rsid w:val="005546E4"/>
    <w:rsid w:val="00554F79"/>
    <w:rsid w:val="00555289"/>
    <w:rsid w:val="0055600D"/>
    <w:rsid w:val="00557987"/>
    <w:rsid w:val="00557F87"/>
    <w:rsid w:val="00561DEC"/>
    <w:rsid w:val="00564409"/>
    <w:rsid w:val="00566186"/>
    <w:rsid w:val="00570CB7"/>
    <w:rsid w:val="00572571"/>
    <w:rsid w:val="00573BB0"/>
    <w:rsid w:val="00576A0E"/>
    <w:rsid w:val="00576DE3"/>
    <w:rsid w:val="00581146"/>
    <w:rsid w:val="00581D57"/>
    <w:rsid w:val="00583E7B"/>
    <w:rsid w:val="005900A0"/>
    <w:rsid w:val="0059053C"/>
    <w:rsid w:val="0059180A"/>
    <w:rsid w:val="005924CA"/>
    <w:rsid w:val="00593889"/>
    <w:rsid w:val="005952FA"/>
    <w:rsid w:val="0059574F"/>
    <w:rsid w:val="00595D1F"/>
    <w:rsid w:val="005969A4"/>
    <w:rsid w:val="005970A3"/>
    <w:rsid w:val="00597872"/>
    <w:rsid w:val="005A1044"/>
    <w:rsid w:val="005C4B79"/>
    <w:rsid w:val="005C6F2E"/>
    <w:rsid w:val="005D1B9C"/>
    <w:rsid w:val="005D2DB5"/>
    <w:rsid w:val="005D4877"/>
    <w:rsid w:val="005E02BE"/>
    <w:rsid w:val="005E05E1"/>
    <w:rsid w:val="005E0C94"/>
    <w:rsid w:val="005E182B"/>
    <w:rsid w:val="005E1DE7"/>
    <w:rsid w:val="005E5FCE"/>
    <w:rsid w:val="005E6F66"/>
    <w:rsid w:val="005F008F"/>
    <w:rsid w:val="005F0125"/>
    <w:rsid w:val="005F16B2"/>
    <w:rsid w:val="005F27A7"/>
    <w:rsid w:val="005F59B2"/>
    <w:rsid w:val="005F657E"/>
    <w:rsid w:val="0060114B"/>
    <w:rsid w:val="006019DC"/>
    <w:rsid w:val="00601AF7"/>
    <w:rsid w:val="00601CB1"/>
    <w:rsid w:val="006039F0"/>
    <w:rsid w:val="0061254B"/>
    <w:rsid w:val="00614D94"/>
    <w:rsid w:val="0061532B"/>
    <w:rsid w:val="006159F7"/>
    <w:rsid w:val="00615AF7"/>
    <w:rsid w:val="00616371"/>
    <w:rsid w:val="0061797D"/>
    <w:rsid w:val="00620EB6"/>
    <w:rsid w:val="006215FF"/>
    <w:rsid w:val="00622DBA"/>
    <w:rsid w:val="0062494A"/>
    <w:rsid w:val="0062692E"/>
    <w:rsid w:val="00626FE1"/>
    <w:rsid w:val="00627556"/>
    <w:rsid w:val="006319C5"/>
    <w:rsid w:val="00643652"/>
    <w:rsid w:val="00650920"/>
    <w:rsid w:val="00650956"/>
    <w:rsid w:val="006513D8"/>
    <w:rsid w:val="00655B3C"/>
    <w:rsid w:val="00660621"/>
    <w:rsid w:val="006610A8"/>
    <w:rsid w:val="006633AF"/>
    <w:rsid w:val="006635B0"/>
    <w:rsid w:val="006679E3"/>
    <w:rsid w:val="0067235A"/>
    <w:rsid w:val="00675C02"/>
    <w:rsid w:val="006777D0"/>
    <w:rsid w:val="00677EA4"/>
    <w:rsid w:val="006805F0"/>
    <w:rsid w:val="00680CCD"/>
    <w:rsid w:val="00680FAA"/>
    <w:rsid w:val="00684F4E"/>
    <w:rsid w:val="00685CC5"/>
    <w:rsid w:val="00691371"/>
    <w:rsid w:val="006936EE"/>
    <w:rsid w:val="00694FD5"/>
    <w:rsid w:val="006950F1"/>
    <w:rsid w:val="00697EF2"/>
    <w:rsid w:val="006A2D47"/>
    <w:rsid w:val="006A6D03"/>
    <w:rsid w:val="006B0559"/>
    <w:rsid w:val="006B27DA"/>
    <w:rsid w:val="006B634A"/>
    <w:rsid w:val="006B6407"/>
    <w:rsid w:val="006B7DE1"/>
    <w:rsid w:val="006C440D"/>
    <w:rsid w:val="006C7845"/>
    <w:rsid w:val="006D08D4"/>
    <w:rsid w:val="006D6BDA"/>
    <w:rsid w:val="006E7801"/>
    <w:rsid w:val="006F155A"/>
    <w:rsid w:val="006F1D4D"/>
    <w:rsid w:val="006F234B"/>
    <w:rsid w:val="006F2F56"/>
    <w:rsid w:val="006F365F"/>
    <w:rsid w:val="006F44B5"/>
    <w:rsid w:val="006F7A13"/>
    <w:rsid w:val="00704112"/>
    <w:rsid w:val="00705C4B"/>
    <w:rsid w:val="0070636E"/>
    <w:rsid w:val="00712190"/>
    <w:rsid w:val="00712504"/>
    <w:rsid w:val="00713460"/>
    <w:rsid w:val="00713DC1"/>
    <w:rsid w:val="00722107"/>
    <w:rsid w:val="00724E3B"/>
    <w:rsid w:val="007260AF"/>
    <w:rsid w:val="007260F0"/>
    <w:rsid w:val="007337CA"/>
    <w:rsid w:val="00734309"/>
    <w:rsid w:val="00734AFF"/>
    <w:rsid w:val="00736526"/>
    <w:rsid w:val="007376F9"/>
    <w:rsid w:val="007379DD"/>
    <w:rsid w:val="00740303"/>
    <w:rsid w:val="00741570"/>
    <w:rsid w:val="007427E0"/>
    <w:rsid w:val="00742E81"/>
    <w:rsid w:val="00746236"/>
    <w:rsid w:val="00747C4E"/>
    <w:rsid w:val="00750373"/>
    <w:rsid w:val="007524C3"/>
    <w:rsid w:val="00752BA2"/>
    <w:rsid w:val="00753C9E"/>
    <w:rsid w:val="00756FF3"/>
    <w:rsid w:val="0075794D"/>
    <w:rsid w:val="007603A5"/>
    <w:rsid w:val="0076292B"/>
    <w:rsid w:val="00773C35"/>
    <w:rsid w:val="00773E77"/>
    <w:rsid w:val="00774458"/>
    <w:rsid w:val="007774A7"/>
    <w:rsid w:val="007834F5"/>
    <w:rsid w:val="0078399B"/>
    <w:rsid w:val="007860E5"/>
    <w:rsid w:val="0078688E"/>
    <w:rsid w:val="00787EC5"/>
    <w:rsid w:val="00790F72"/>
    <w:rsid w:val="00794DD0"/>
    <w:rsid w:val="007953E0"/>
    <w:rsid w:val="007A06E2"/>
    <w:rsid w:val="007A0F4B"/>
    <w:rsid w:val="007A1332"/>
    <w:rsid w:val="007A22B7"/>
    <w:rsid w:val="007A4AE3"/>
    <w:rsid w:val="007A540C"/>
    <w:rsid w:val="007A6BE0"/>
    <w:rsid w:val="007B00F0"/>
    <w:rsid w:val="007B0E14"/>
    <w:rsid w:val="007B25F0"/>
    <w:rsid w:val="007B2B4E"/>
    <w:rsid w:val="007B3512"/>
    <w:rsid w:val="007B380B"/>
    <w:rsid w:val="007B694E"/>
    <w:rsid w:val="007B6F0F"/>
    <w:rsid w:val="007B762A"/>
    <w:rsid w:val="007C1CA5"/>
    <w:rsid w:val="007C4CF9"/>
    <w:rsid w:val="007C5D8F"/>
    <w:rsid w:val="007C7A14"/>
    <w:rsid w:val="007D03C1"/>
    <w:rsid w:val="007D1242"/>
    <w:rsid w:val="007E04DD"/>
    <w:rsid w:val="007E3568"/>
    <w:rsid w:val="007E7645"/>
    <w:rsid w:val="007F0112"/>
    <w:rsid w:val="007F096B"/>
    <w:rsid w:val="007F14EC"/>
    <w:rsid w:val="007F3010"/>
    <w:rsid w:val="007F3897"/>
    <w:rsid w:val="007F6902"/>
    <w:rsid w:val="0080128E"/>
    <w:rsid w:val="0080212E"/>
    <w:rsid w:val="00802AB2"/>
    <w:rsid w:val="00803E70"/>
    <w:rsid w:val="00804223"/>
    <w:rsid w:val="00804B5B"/>
    <w:rsid w:val="00806131"/>
    <w:rsid w:val="00806766"/>
    <w:rsid w:val="008076E9"/>
    <w:rsid w:val="008105A7"/>
    <w:rsid w:val="008106A7"/>
    <w:rsid w:val="008129A4"/>
    <w:rsid w:val="00815B1A"/>
    <w:rsid w:val="008204F7"/>
    <w:rsid w:val="00821962"/>
    <w:rsid w:val="0082203F"/>
    <w:rsid w:val="00822295"/>
    <w:rsid w:val="00824E66"/>
    <w:rsid w:val="00825AFE"/>
    <w:rsid w:val="00825C94"/>
    <w:rsid w:val="0082741B"/>
    <w:rsid w:val="00827993"/>
    <w:rsid w:val="00827CEA"/>
    <w:rsid w:val="0083141C"/>
    <w:rsid w:val="00832DD9"/>
    <w:rsid w:val="0083591B"/>
    <w:rsid w:val="00840F86"/>
    <w:rsid w:val="00842F79"/>
    <w:rsid w:val="0084417B"/>
    <w:rsid w:val="008464AF"/>
    <w:rsid w:val="00847FF2"/>
    <w:rsid w:val="008525BB"/>
    <w:rsid w:val="00853818"/>
    <w:rsid w:val="0085520D"/>
    <w:rsid w:val="00857155"/>
    <w:rsid w:val="008574F3"/>
    <w:rsid w:val="00861B07"/>
    <w:rsid w:val="0086224B"/>
    <w:rsid w:val="00862A11"/>
    <w:rsid w:val="00864ECE"/>
    <w:rsid w:val="008668E2"/>
    <w:rsid w:val="008703CE"/>
    <w:rsid w:val="00871BD2"/>
    <w:rsid w:val="00871C57"/>
    <w:rsid w:val="00873DAC"/>
    <w:rsid w:val="00876DB3"/>
    <w:rsid w:val="00877058"/>
    <w:rsid w:val="00880D06"/>
    <w:rsid w:val="00881D46"/>
    <w:rsid w:val="00883C8F"/>
    <w:rsid w:val="00884070"/>
    <w:rsid w:val="00885817"/>
    <w:rsid w:val="00887EEF"/>
    <w:rsid w:val="00892272"/>
    <w:rsid w:val="00892758"/>
    <w:rsid w:val="00893B99"/>
    <w:rsid w:val="00894215"/>
    <w:rsid w:val="00894684"/>
    <w:rsid w:val="00895009"/>
    <w:rsid w:val="0089518A"/>
    <w:rsid w:val="00897476"/>
    <w:rsid w:val="008A3F59"/>
    <w:rsid w:val="008A4C67"/>
    <w:rsid w:val="008A773A"/>
    <w:rsid w:val="008B21F0"/>
    <w:rsid w:val="008B384C"/>
    <w:rsid w:val="008B5FCC"/>
    <w:rsid w:val="008C0E4E"/>
    <w:rsid w:val="008C2460"/>
    <w:rsid w:val="008C26CB"/>
    <w:rsid w:val="008C4037"/>
    <w:rsid w:val="008C599A"/>
    <w:rsid w:val="008C5DE4"/>
    <w:rsid w:val="008C6EC5"/>
    <w:rsid w:val="008C7F73"/>
    <w:rsid w:val="008D391B"/>
    <w:rsid w:val="008D4DBD"/>
    <w:rsid w:val="008D5E91"/>
    <w:rsid w:val="008D707C"/>
    <w:rsid w:val="008E1229"/>
    <w:rsid w:val="008E4C34"/>
    <w:rsid w:val="008E7818"/>
    <w:rsid w:val="008F1EBF"/>
    <w:rsid w:val="008F30D2"/>
    <w:rsid w:val="008F3763"/>
    <w:rsid w:val="008F5436"/>
    <w:rsid w:val="008F5644"/>
    <w:rsid w:val="008F7421"/>
    <w:rsid w:val="00900D1E"/>
    <w:rsid w:val="00904CF7"/>
    <w:rsid w:val="00910B69"/>
    <w:rsid w:val="00913E45"/>
    <w:rsid w:val="00913FAA"/>
    <w:rsid w:val="00917667"/>
    <w:rsid w:val="00917778"/>
    <w:rsid w:val="00920870"/>
    <w:rsid w:val="009227F2"/>
    <w:rsid w:val="009262AB"/>
    <w:rsid w:val="00927168"/>
    <w:rsid w:val="0093083A"/>
    <w:rsid w:val="00931EE9"/>
    <w:rsid w:val="0093247C"/>
    <w:rsid w:val="009336E7"/>
    <w:rsid w:val="00934425"/>
    <w:rsid w:val="00934E09"/>
    <w:rsid w:val="00937F6D"/>
    <w:rsid w:val="009408F4"/>
    <w:rsid w:val="00942702"/>
    <w:rsid w:val="00944941"/>
    <w:rsid w:val="009467BD"/>
    <w:rsid w:val="00946C01"/>
    <w:rsid w:val="00946F23"/>
    <w:rsid w:val="00947411"/>
    <w:rsid w:val="009502EA"/>
    <w:rsid w:val="00954E0E"/>
    <w:rsid w:val="00956CC9"/>
    <w:rsid w:val="00956DFA"/>
    <w:rsid w:val="009575FE"/>
    <w:rsid w:val="009616EA"/>
    <w:rsid w:val="00965CA5"/>
    <w:rsid w:val="0096793F"/>
    <w:rsid w:val="00971DA3"/>
    <w:rsid w:val="00976692"/>
    <w:rsid w:val="00977882"/>
    <w:rsid w:val="00980C25"/>
    <w:rsid w:val="0098297B"/>
    <w:rsid w:val="00982CA3"/>
    <w:rsid w:val="00982FD6"/>
    <w:rsid w:val="00984124"/>
    <w:rsid w:val="00984F13"/>
    <w:rsid w:val="00986586"/>
    <w:rsid w:val="00986AC3"/>
    <w:rsid w:val="00991D9C"/>
    <w:rsid w:val="00995EFF"/>
    <w:rsid w:val="0099654B"/>
    <w:rsid w:val="009968D0"/>
    <w:rsid w:val="009977FF"/>
    <w:rsid w:val="009A02C5"/>
    <w:rsid w:val="009A42D2"/>
    <w:rsid w:val="009A513C"/>
    <w:rsid w:val="009B2A55"/>
    <w:rsid w:val="009B2CFB"/>
    <w:rsid w:val="009B5395"/>
    <w:rsid w:val="009B65A5"/>
    <w:rsid w:val="009B6C88"/>
    <w:rsid w:val="009B769F"/>
    <w:rsid w:val="009C0A99"/>
    <w:rsid w:val="009C143E"/>
    <w:rsid w:val="009C5FD6"/>
    <w:rsid w:val="009C690B"/>
    <w:rsid w:val="009D1240"/>
    <w:rsid w:val="009D1DA6"/>
    <w:rsid w:val="009D2DCC"/>
    <w:rsid w:val="009D4DC4"/>
    <w:rsid w:val="009E10CF"/>
    <w:rsid w:val="009E3713"/>
    <w:rsid w:val="009E473A"/>
    <w:rsid w:val="009E4AD4"/>
    <w:rsid w:val="009E78B7"/>
    <w:rsid w:val="009F3438"/>
    <w:rsid w:val="009F4667"/>
    <w:rsid w:val="009F496D"/>
    <w:rsid w:val="009F4F02"/>
    <w:rsid w:val="009F509B"/>
    <w:rsid w:val="009F61D7"/>
    <w:rsid w:val="009F7B6A"/>
    <w:rsid w:val="00A02383"/>
    <w:rsid w:val="00A0242C"/>
    <w:rsid w:val="00A02D98"/>
    <w:rsid w:val="00A0322A"/>
    <w:rsid w:val="00A03394"/>
    <w:rsid w:val="00A05365"/>
    <w:rsid w:val="00A105CE"/>
    <w:rsid w:val="00A111F4"/>
    <w:rsid w:val="00A11AB6"/>
    <w:rsid w:val="00A11E4E"/>
    <w:rsid w:val="00A15ACC"/>
    <w:rsid w:val="00A1760C"/>
    <w:rsid w:val="00A20AE7"/>
    <w:rsid w:val="00A2253E"/>
    <w:rsid w:val="00A25686"/>
    <w:rsid w:val="00A2664F"/>
    <w:rsid w:val="00A30116"/>
    <w:rsid w:val="00A34D64"/>
    <w:rsid w:val="00A35D72"/>
    <w:rsid w:val="00A40A8A"/>
    <w:rsid w:val="00A435DF"/>
    <w:rsid w:val="00A46F05"/>
    <w:rsid w:val="00A5058D"/>
    <w:rsid w:val="00A50691"/>
    <w:rsid w:val="00A5136F"/>
    <w:rsid w:val="00A52EAE"/>
    <w:rsid w:val="00A53457"/>
    <w:rsid w:val="00A545E1"/>
    <w:rsid w:val="00A54892"/>
    <w:rsid w:val="00A54C1C"/>
    <w:rsid w:val="00A54C69"/>
    <w:rsid w:val="00A60683"/>
    <w:rsid w:val="00A6347E"/>
    <w:rsid w:val="00A66763"/>
    <w:rsid w:val="00A70E29"/>
    <w:rsid w:val="00A71B84"/>
    <w:rsid w:val="00A7233E"/>
    <w:rsid w:val="00A7424A"/>
    <w:rsid w:val="00A746D6"/>
    <w:rsid w:val="00A74B5B"/>
    <w:rsid w:val="00A76401"/>
    <w:rsid w:val="00A838DB"/>
    <w:rsid w:val="00A83FFB"/>
    <w:rsid w:val="00A84894"/>
    <w:rsid w:val="00A851B5"/>
    <w:rsid w:val="00A934DF"/>
    <w:rsid w:val="00A9414E"/>
    <w:rsid w:val="00A947C5"/>
    <w:rsid w:val="00A95E8C"/>
    <w:rsid w:val="00A97228"/>
    <w:rsid w:val="00AA06AA"/>
    <w:rsid w:val="00AA28F4"/>
    <w:rsid w:val="00AA72D6"/>
    <w:rsid w:val="00AA78D8"/>
    <w:rsid w:val="00AB0859"/>
    <w:rsid w:val="00AB377B"/>
    <w:rsid w:val="00AB6AE0"/>
    <w:rsid w:val="00AB7BD3"/>
    <w:rsid w:val="00AB7CD4"/>
    <w:rsid w:val="00AC1A5A"/>
    <w:rsid w:val="00AC2CA6"/>
    <w:rsid w:val="00AC3FA1"/>
    <w:rsid w:val="00AC53D3"/>
    <w:rsid w:val="00AC5C52"/>
    <w:rsid w:val="00AC7303"/>
    <w:rsid w:val="00AC7947"/>
    <w:rsid w:val="00AD2F40"/>
    <w:rsid w:val="00AD3040"/>
    <w:rsid w:val="00AD6026"/>
    <w:rsid w:val="00AD6D39"/>
    <w:rsid w:val="00AD7779"/>
    <w:rsid w:val="00AE38DA"/>
    <w:rsid w:val="00AE3AF2"/>
    <w:rsid w:val="00AE403B"/>
    <w:rsid w:val="00AF1667"/>
    <w:rsid w:val="00AF1CB7"/>
    <w:rsid w:val="00AF77ED"/>
    <w:rsid w:val="00AF7AE3"/>
    <w:rsid w:val="00B01EE5"/>
    <w:rsid w:val="00B024AF"/>
    <w:rsid w:val="00B024B7"/>
    <w:rsid w:val="00B02864"/>
    <w:rsid w:val="00B03492"/>
    <w:rsid w:val="00B0438E"/>
    <w:rsid w:val="00B0499F"/>
    <w:rsid w:val="00B04ACC"/>
    <w:rsid w:val="00B06C79"/>
    <w:rsid w:val="00B07597"/>
    <w:rsid w:val="00B0774B"/>
    <w:rsid w:val="00B07F61"/>
    <w:rsid w:val="00B1540F"/>
    <w:rsid w:val="00B1696F"/>
    <w:rsid w:val="00B209E2"/>
    <w:rsid w:val="00B21880"/>
    <w:rsid w:val="00B22834"/>
    <w:rsid w:val="00B23256"/>
    <w:rsid w:val="00B23D49"/>
    <w:rsid w:val="00B27649"/>
    <w:rsid w:val="00B33BC7"/>
    <w:rsid w:val="00B34D1A"/>
    <w:rsid w:val="00B34D9A"/>
    <w:rsid w:val="00B37A51"/>
    <w:rsid w:val="00B406EF"/>
    <w:rsid w:val="00B408A8"/>
    <w:rsid w:val="00B40BE8"/>
    <w:rsid w:val="00B44FFE"/>
    <w:rsid w:val="00B453FB"/>
    <w:rsid w:val="00B47132"/>
    <w:rsid w:val="00B50276"/>
    <w:rsid w:val="00B5223F"/>
    <w:rsid w:val="00B536CC"/>
    <w:rsid w:val="00B54B03"/>
    <w:rsid w:val="00B54CB7"/>
    <w:rsid w:val="00B55F38"/>
    <w:rsid w:val="00B56266"/>
    <w:rsid w:val="00B57290"/>
    <w:rsid w:val="00B614CC"/>
    <w:rsid w:val="00B62055"/>
    <w:rsid w:val="00B656F9"/>
    <w:rsid w:val="00B70D35"/>
    <w:rsid w:val="00B74496"/>
    <w:rsid w:val="00B75055"/>
    <w:rsid w:val="00B8025B"/>
    <w:rsid w:val="00B80F82"/>
    <w:rsid w:val="00B81D45"/>
    <w:rsid w:val="00B821FB"/>
    <w:rsid w:val="00B82FE6"/>
    <w:rsid w:val="00B83EA3"/>
    <w:rsid w:val="00B85A47"/>
    <w:rsid w:val="00B86AD6"/>
    <w:rsid w:val="00B87D91"/>
    <w:rsid w:val="00B87DE1"/>
    <w:rsid w:val="00B911CA"/>
    <w:rsid w:val="00B92015"/>
    <w:rsid w:val="00B932BD"/>
    <w:rsid w:val="00B956F1"/>
    <w:rsid w:val="00B95ADB"/>
    <w:rsid w:val="00BA43B8"/>
    <w:rsid w:val="00BA6D3D"/>
    <w:rsid w:val="00BA7502"/>
    <w:rsid w:val="00BA767D"/>
    <w:rsid w:val="00BA7B9B"/>
    <w:rsid w:val="00BB16B4"/>
    <w:rsid w:val="00BB1722"/>
    <w:rsid w:val="00BB46D9"/>
    <w:rsid w:val="00BB472D"/>
    <w:rsid w:val="00BB56AE"/>
    <w:rsid w:val="00BB5F5D"/>
    <w:rsid w:val="00BB7222"/>
    <w:rsid w:val="00BC03FF"/>
    <w:rsid w:val="00BC45C2"/>
    <w:rsid w:val="00BC4F01"/>
    <w:rsid w:val="00BC606F"/>
    <w:rsid w:val="00BD0381"/>
    <w:rsid w:val="00BD3AB7"/>
    <w:rsid w:val="00BE23A1"/>
    <w:rsid w:val="00BE2AC3"/>
    <w:rsid w:val="00BE3485"/>
    <w:rsid w:val="00BE4C9A"/>
    <w:rsid w:val="00BE4DB3"/>
    <w:rsid w:val="00BE63F4"/>
    <w:rsid w:val="00BE6C42"/>
    <w:rsid w:val="00BE6CEC"/>
    <w:rsid w:val="00BF40CB"/>
    <w:rsid w:val="00BF6542"/>
    <w:rsid w:val="00C01349"/>
    <w:rsid w:val="00C041C1"/>
    <w:rsid w:val="00C06715"/>
    <w:rsid w:val="00C107C7"/>
    <w:rsid w:val="00C14D34"/>
    <w:rsid w:val="00C17761"/>
    <w:rsid w:val="00C20B2F"/>
    <w:rsid w:val="00C26AC8"/>
    <w:rsid w:val="00C27790"/>
    <w:rsid w:val="00C31B8D"/>
    <w:rsid w:val="00C329F1"/>
    <w:rsid w:val="00C36142"/>
    <w:rsid w:val="00C42158"/>
    <w:rsid w:val="00C442CC"/>
    <w:rsid w:val="00C45CFA"/>
    <w:rsid w:val="00C470CD"/>
    <w:rsid w:val="00C47369"/>
    <w:rsid w:val="00C50928"/>
    <w:rsid w:val="00C50C65"/>
    <w:rsid w:val="00C537C8"/>
    <w:rsid w:val="00C54DBA"/>
    <w:rsid w:val="00C550FC"/>
    <w:rsid w:val="00C56FF7"/>
    <w:rsid w:val="00C62C6A"/>
    <w:rsid w:val="00C62FA3"/>
    <w:rsid w:val="00C63953"/>
    <w:rsid w:val="00C63AA5"/>
    <w:rsid w:val="00C654BC"/>
    <w:rsid w:val="00C70544"/>
    <w:rsid w:val="00C73988"/>
    <w:rsid w:val="00C745F4"/>
    <w:rsid w:val="00C75303"/>
    <w:rsid w:val="00C7560C"/>
    <w:rsid w:val="00C758E5"/>
    <w:rsid w:val="00C762EC"/>
    <w:rsid w:val="00C77B36"/>
    <w:rsid w:val="00C77E97"/>
    <w:rsid w:val="00C80D74"/>
    <w:rsid w:val="00C820C7"/>
    <w:rsid w:val="00C927FA"/>
    <w:rsid w:val="00C92EB1"/>
    <w:rsid w:val="00C93A8C"/>
    <w:rsid w:val="00C9526E"/>
    <w:rsid w:val="00C96A82"/>
    <w:rsid w:val="00CA0508"/>
    <w:rsid w:val="00CA2634"/>
    <w:rsid w:val="00CA385B"/>
    <w:rsid w:val="00CA3BDE"/>
    <w:rsid w:val="00CA61DE"/>
    <w:rsid w:val="00CB0624"/>
    <w:rsid w:val="00CB156D"/>
    <w:rsid w:val="00CB2B9E"/>
    <w:rsid w:val="00CB5A8E"/>
    <w:rsid w:val="00CB6BFB"/>
    <w:rsid w:val="00CB730B"/>
    <w:rsid w:val="00CC144E"/>
    <w:rsid w:val="00CC1CFB"/>
    <w:rsid w:val="00CC6404"/>
    <w:rsid w:val="00CC6B63"/>
    <w:rsid w:val="00CC7185"/>
    <w:rsid w:val="00CC7825"/>
    <w:rsid w:val="00CD0A39"/>
    <w:rsid w:val="00CD1AD2"/>
    <w:rsid w:val="00CD1D77"/>
    <w:rsid w:val="00CD33A7"/>
    <w:rsid w:val="00CD48BB"/>
    <w:rsid w:val="00CD4A68"/>
    <w:rsid w:val="00CD4A8A"/>
    <w:rsid w:val="00CD6888"/>
    <w:rsid w:val="00CD692D"/>
    <w:rsid w:val="00CD7413"/>
    <w:rsid w:val="00CD782A"/>
    <w:rsid w:val="00CE0094"/>
    <w:rsid w:val="00CE1A0C"/>
    <w:rsid w:val="00CE5D11"/>
    <w:rsid w:val="00CE6354"/>
    <w:rsid w:val="00CF119B"/>
    <w:rsid w:val="00CF1778"/>
    <w:rsid w:val="00CF1779"/>
    <w:rsid w:val="00CF45E2"/>
    <w:rsid w:val="00CF6E52"/>
    <w:rsid w:val="00D029F1"/>
    <w:rsid w:val="00D05BB9"/>
    <w:rsid w:val="00D1073A"/>
    <w:rsid w:val="00D17661"/>
    <w:rsid w:val="00D17C61"/>
    <w:rsid w:val="00D207DB"/>
    <w:rsid w:val="00D216F1"/>
    <w:rsid w:val="00D221DA"/>
    <w:rsid w:val="00D22E31"/>
    <w:rsid w:val="00D24FF2"/>
    <w:rsid w:val="00D2641F"/>
    <w:rsid w:val="00D27DA5"/>
    <w:rsid w:val="00D3488D"/>
    <w:rsid w:val="00D3677D"/>
    <w:rsid w:val="00D36E04"/>
    <w:rsid w:val="00D41B45"/>
    <w:rsid w:val="00D4272E"/>
    <w:rsid w:val="00D45642"/>
    <w:rsid w:val="00D45D6F"/>
    <w:rsid w:val="00D4665E"/>
    <w:rsid w:val="00D477B5"/>
    <w:rsid w:val="00D51990"/>
    <w:rsid w:val="00D52069"/>
    <w:rsid w:val="00D54AE3"/>
    <w:rsid w:val="00D553C4"/>
    <w:rsid w:val="00D55B6D"/>
    <w:rsid w:val="00D600EC"/>
    <w:rsid w:val="00D61F9D"/>
    <w:rsid w:val="00D62AE3"/>
    <w:rsid w:val="00D62B09"/>
    <w:rsid w:val="00D638A2"/>
    <w:rsid w:val="00D64CF7"/>
    <w:rsid w:val="00D65149"/>
    <w:rsid w:val="00D65EAE"/>
    <w:rsid w:val="00D666E8"/>
    <w:rsid w:val="00D6763D"/>
    <w:rsid w:val="00D703B8"/>
    <w:rsid w:val="00D703CE"/>
    <w:rsid w:val="00D75215"/>
    <w:rsid w:val="00D77134"/>
    <w:rsid w:val="00D80F9D"/>
    <w:rsid w:val="00D81DBB"/>
    <w:rsid w:val="00D83932"/>
    <w:rsid w:val="00D84719"/>
    <w:rsid w:val="00D85512"/>
    <w:rsid w:val="00D926BB"/>
    <w:rsid w:val="00D946D7"/>
    <w:rsid w:val="00D95B0C"/>
    <w:rsid w:val="00D95C8C"/>
    <w:rsid w:val="00D97068"/>
    <w:rsid w:val="00DA0190"/>
    <w:rsid w:val="00DA0296"/>
    <w:rsid w:val="00DA0D77"/>
    <w:rsid w:val="00DA185C"/>
    <w:rsid w:val="00DA1951"/>
    <w:rsid w:val="00DA49A5"/>
    <w:rsid w:val="00DB16AE"/>
    <w:rsid w:val="00DB28D0"/>
    <w:rsid w:val="00DB3F18"/>
    <w:rsid w:val="00DB6385"/>
    <w:rsid w:val="00DB7C96"/>
    <w:rsid w:val="00DC58B6"/>
    <w:rsid w:val="00DC675D"/>
    <w:rsid w:val="00DC706D"/>
    <w:rsid w:val="00DC78E1"/>
    <w:rsid w:val="00DC7C81"/>
    <w:rsid w:val="00DD2A70"/>
    <w:rsid w:val="00DD5C79"/>
    <w:rsid w:val="00DD637F"/>
    <w:rsid w:val="00DE08A8"/>
    <w:rsid w:val="00DE0F75"/>
    <w:rsid w:val="00DE185F"/>
    <w:rsid w:val="00DE7560"/>
    <w:rsid w:val="00DF4BAA"/>
    <w:rsid w:val="00DF5FD6"/>
    <w:rsid w:val="00DF60DE"/>
    <w:rsid w:val="00DF63B2"/>
    <w:rsid w:val="00DF70BA"/>
    <w:rsid w:val="00DF72ED"/>
    <w:rsid w:val="00E03464"/>
    <w:rsid w:val="00E034CE"/>
    <w:rsid w:val="00E049A1"/>
    <w:rsid w:val="00E07CF1"/>
    <w:rsid w:val="00E12BDC"/>
    <w:rsid w:val="00E14309"/>
    <w:rsid w:val="00E17C1A"/>
    <w:rsid w:val="00E21265"/>
    <w:rsid w:val="00E22027"/>
    <w:rsid w:val="00E2745C"/>
    <w:rsid w:val="00E31002"/>
    <w:rsid w:val="00E32EC6"/>
    <w:rsid w:val="00E32EDE"/>
    <w:rsid w:val="00E33E2E"/>
    <w:rsid w:val="00E357A5"/>
    <w:rsid w:val="00E40E06"/>
    <w:rsid w:val="00E40F7E"/>
    <w:rsid w:val="00E43A44"/>
    <w:rsid w:val="00E444DD"/>
    <w:rsid w:val="00E455E7"/>
    <w:rsid w:val="00E46E68"/>
    <w:rsid w:val="00E50DE5"/>
    <w:rsid w:val="00E50FF5"/>
    <w:rsid w:val="00E53970"/>
    <w:rsid w:val="00E54CEF"/>
    <w:rsid w:val="00E56889"/>
    <w:rsid w:val="00E573D1"/>
    <w:rsid w:val="00E6141D"/>
    <w:rsid w:val="00E63B65"/>
    <w:rsid w:val="00E66793"/>
    <w:rsid w:val="00E6744C"/>
    <w:rsid w:val="00E6750D"/>
    <w:rsid w:val="00E70D85"/>
    <w:rsid w:val="00E7323A"/>
    <w:rsid w:val="00E743A9"/>
    <w:rsid w:val="00E74815"/>
    <w:rsid w:val="00E74EC8"/>
    <w:rsid w:val="00E74FAB"/>
    <w:rsid w:val="00E76286"/>
    <w:rsid w:val="00E80493"/>
    <w:rsid w:val="00E90C08"/>
    <w:rsid w:val="00E92ED1"/>
    <w:rsid w:val="00E93720"/>
    <w:rsid w:val="00E938AE"/>
    <w:rsid w:val="00E9422E"/>
    <w:rsid w:val="00E9629F"/>
    <w:rsid w:val="00E966D6"/>
    <w:rsid w:val="00E97421"/>
    <w:rsid w:val="00EA31DD"/>
    <w:rsid w:val="00EA3617"/>
    <w:rsid w:val="00EB0EB3"/>
    <w:rsid w:val="00EB2938"/>
    <w:rsid w:val="00EB3EB9"/>
    <w:rsid w:val="00EB4ABC"/>
    <w:rsid w:val="00EB507B"/>
    <w:rsid w:val="00EB61EC"/>
    <w:rsid w:val="00EB6A25"/>
    <w:rsid w:val="00EC1D1A"/>
    <w:rsid w:val="00ED0D10"/>
    <w:rsid w:val="00ED190F"/>
    <w:rsid w:val="00ED2ECF"/>
    <w:rsid w:val="00ED35C9"/>
    <w:rsid w:val="00ED74D4"/>
    <w:rsid w:val="00ED7907"/>
    <w:rsid w:val="00EE0214"/>
    <w:rsid w:val="00EE19D7"/>
    <w:rsid w:val="00EE2137"/>
    <w:rsid w:val="00EE40BA"/>
    <w:rsid w:val="00EE5423"/>
    <w:rsid w:val="00EE5B7C"/>
    <w:rsid w:val="00EF1420"/>
    <w:rsid w:val="00EF4301"/>
    <w:rsid w:val="00EF5617"/>
    <w:rsid w:val="00F021A7"/>
    <w:rsid w:val="00F03A02"/>
    <w:rsid w:val="00F04B59"/>
    <w:rsid w:val="00F06744"/>
    <w:rsid w:val="00F06F62"/>
    <w:rsid w:val="00F10085"/>
    <w:rsid w:val="00F108B7"/>
    <w:rsid w:val="00F10D60"/>
    <w:rsid w:val="00F11800"/>
    <w:rsid w:val="00F1326E"/>
    <w:rsid w:val="00F17411"/>
    <w:rsid w:val="00F2247B"/>
    <w:rsid w:val="00F224AB"/>
    <w:rsid w:val="00F22DCF"/>
    <w:rsid w:val="00F23949"/>
    <w:rsid w:val="00F24731"/>
    <w:rsid w:val="00F24890"/>
    <w:rsid w:val="00F2666C"/>
    <w:rsid w:val="00F26E25"/>
    <w:rsid w:val="00F27D52"/>
    <w:rsid w:val="00F31768"/>
    <w:rsid w:val="00F33212"/>
    <w:rsid w:val="00F335DD"/>
    <w:rsid w:val="00F376E9"/>
    <w:rsid w:val="00F4142C"/>
    <w:rsid w:val="00F41F81"/>
    <w:rsid w:val="00F4436E"/>
    <w:rsid w:val="00F449CD"/>
    <w:rsid w:val="00F44D8C"/>
    <w:rsid w:val="00F46A7B"/>
    <w:rsid w:val="00F47E43"/>
    <w:rsid w:val="00F539C5"/>
    <w:rsid w:val="00F54114"/>
    <w:rsid w:val="00F55663"/>
    <w:rsid w:val="00F5578C"/>
    <w:rsid w:val="00F55D29"/>
    <w:rsid w:val="00F5700E"/>
    <w:rsid w:val="00F62BF9"/>
    <w:rsid w:val="00F6468B"/>
    <w:rsid w:val="00F65DB6"/>
    <w:rsid w:val="00F6798E"/>
    <w:rsid w:val="00F67E0C"/>
    <w:rsid w:val="00F704D1"/>
    <w:rsid w:val="00F70809"/>
    <w:rsid w:val="00F70FC1"/>
    <w:rsid w:val="00F714E9"/>
    <w:rsid w:val="00F75B3D"/>
    <w:rsid w:val="00F76AEB"/>
    <w:rsid w:val="00F7763C"/>
    <w:rsid w:val="00F81060"/>
    <w:rsid w:val="00F81FA8"/>
    <w:rsid w:val="00F8343F"/>
    <w:rsid w:val="00F85E3B"/>
    <w:rsid w:val="00F91951"/>
    <w:rsid w:val="00F91C36"/>
    <w:rsid w:val="00F92896"/>
    <w:rsid w:val="00F9376E"/>
    <w:rsid w:val="00F93CA2"/>
    <w:rsid w:val="00F95DD6"/>
    <w:rsid w:val="00F96050"/>
    <w:rsid w:val="00FA15FE"/>
    <w:rsid w:val="00FA187A"/>
    <w:rsid w:val="00FA56FE"/>
    <w:rsid w:val="00FA7222"/>
    <w:rsid w:val="00FB1D95"/>
    <w:rsid w:val="00FB2BCB"/>
    <w:rsid w:val="00FB3771"/>
    <w:rsid w:val="00FB3A7B"/>
    <w:rsid w:val="00FB4297"/>
    <w:rsid w:val="00FB5B65"/>
    <w:rsid w:val="00FC6D1C"/>
    <w:rsid w:val="00FC6D27"/>
    <w:rsid w:val="00FC6E00"/>
    <w:rsid w:val="00FC7D22"/>
    <w:rsid w:val="00FD13D4"/>
    <w:rsid w:val="00FD28F1"/>
    <w:rsid w:val="00FD40B3"/>
    <w:rsid w:val="00FD4535"/>
    <w:rsid w:val="00FD55D0"/>
    <w:rsid w:val="00FD72AE"/>
    <w:rsid w:val="00FE003B"/>
    <w:rsid w:val="00FE00DF"/>
    <w:rsid w:val="00FE2218"/>
    <w:rsid w:val="00FE2292"/>
    <w:rsid w:val="00FE2425"/>
    <w:rsid w:val="00FE515E"/>
    <w:rsid w:val="00FE5FD4"/>
    <w:rsid w:val="00FE6026"/>
    <w:rsid w:val="00FF076A"/>
    <w:rsid w:val="00FF1629"/>
    <w:rsid w:val="00FF2420"/>
    <w:rsid w:val="00FF2F84"/>
    <w:rsid w:val="00FF600A"/>
    <w:rsid w:val="00FF6998"/>
    <w:rsid w:val="00FF6CB8"/>
    <w:rsid w:val="00FF7E14"/>
    <w:rsid w:val="0569AAEE"/>
    <w:rsid w:val="0B7E8782"/>
    <w:rsid w:val="13F0F62D"/>
    <w:rsid w:val="14E76BF7"/>
    <w:rsid w:val="262E9027"/>
    <w:rsid w:val="2C2F0F7A"/>
    <w:rsid w:val="3037392D"/>
    <w:rsid w:val="3443439F"/>
    <w:rsid w:val="35FBDF98"/>
    <w:rsid w:val="3781C0AE"/>
    <w:rsid w:val="436C5CC2"/>
    <w:rsid w:val="45D24021"/>
    <w:rsid w:val="506C39FF"/>
    <w:rsid w:val="55481AE2"/>
    <w:rsid w:val="59EA8CB2"/>
    <w:rsid w:val="59F5AD4D"/>
    <w:rsid w:val="689D096F"/>
    <w:rsid w:val="6944F262"/>
    <w:rsid w:val="6E410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ED504"/>
  <w15:docId w15:val="{BB0051C8-EBE3-443A-ACE9-F4E87CAC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473"/>
    <w:pPr>
      <w:widowControl w:val="0"/>
    </w:pPr>
    <w:rPr>
      <w:sz w:val="22"/>
      <w:lang w:val="en-US" w:eastAsia="en-US"/>
    </w:rPr>
  </w:style>
  <w:style w:type="paragraph" w:styleId="Heading1">
    <w:name w:val="heading 1"/>
    <w:basedOn w:val="Normal"/>
    <w:next w:val="Normal"/>
    <w:link w:val="Heading1Char"/>
    <w:qFormat/>
    <w:rsid w:val="003F4EC1"/>
    <w:pPr>
      <w:widowControl/>
      <w:outlineLvl w:val="0"/>
    </w:pPr>
    <w:rPr>
      <w:b/>
      <w:sz w:val="24"/>
      <w:szCs w:val="24"/>
    </w:rPr>
  </w:style>
  <w:style w:type="paragraph" w:styleId="Heading2">
    <w:name w:val="heading 2"/>
    <w:basedOn w:val="Normal"/>
    <w:next w:val="Normal"/>
    <w:link w:val="Heading2Char"/>
    <w:qFormat/>
    <w:rsid w:val="00A0322A"/>
    <w:pPr>
      <w:widowControl/>
      <w:numPr>
        <w:numId w:val="2"/>
      </w:numPr>
      <w:ind w:left="0" w:firstLine="0"/>
      <w:outlineLvl w:val="1"/>
    </w:pPr>
    <w:rPr>
      <w:b/>
      <w:szCs w:val="22"/>
      <w:u w:val="single"/>
    </w:rPr>
  </w:style>
  <w:style w:type="paragraph" w:styleId="Heading3">
    <w:name w:val="heading 3"/>
    <w:basedOn w:val="Normal"/>
    <w:next w:val="Normal"/>
    <w:link w:val="Heading3Char"/>
    <w:qFormat/>
    <w:pPr>
      <w:keepNext/>
      <w:spacing w:before="240" w:after="60"/>
      <w:ind w:left="2160" w:hanging="720"/>
      <w:outlineLvl w:val="2"/>
    </w:pPr>
    <w:rPr>
      <w:b/>
      <w:sz w:val="24"/>
      <w:lang w:val="x-none" w:eastAsia="x-none"/>
    </w:rPr>
  </w:style>
  <w:style w:type="paragraph" w:styleId="Heading4">
    <w:name w:val="heading 4"/>
    <w:basedOn w:val="Normal"/>
    <w:next w:val="Normal"/>
    <w:link w:val="Heading4Char"/>
    <w:qFormat/>
    <w:pPr>
      <w:keepNext/>
      <w:spacing w:before="240" w:after="60"/>
      <w:ind w:left="2880" w:hanging="720"/>
      <w:outlineLvl w:val="3"/>
    </w:pPr>
    <w:rPr>
      <w:b/>
      <w:i/>
      <w:sz w:val="24"/>
      <w:lang w:val="x-none" w:eastAsia="x-none"/>
    </w:rPr>
  </w:style>
  <w:style w:type="paragraph" w:styleId="Heading5">
    <w:name w:val="heading 5"/>
    <w:basedOn w:val="Normal"/>
    <w:next w:val="Normal"/>
    <w:link w:val="Heading5Char"/>
    <w:pPr>
      <w:spacing w:before="240" w:after="60"/>
      <w:ind w:left="3600" w:hanging="720"/>
      <w:outlineLvl w:val="4"/>
    </w:pPr>
    <w:rPr>
      <w:rFonts w:ascii="Arial" w:hAnsi="Arial"/>
      <w:lang w:val="x-none" w:eastAsia="x-none"/>
    </w:rPr>
  </w:style>
  <w:style w:type="paragraph" w:styleId="Heading6">
    <w:name w:val="heading 6"/>
    <w:basedOn w:val="Normal"/>
    <w:next w:val="Normal"/>
    <w:link w:val="Heading6Char"/>
    <w:pPr>
      <w:spacing w:before="240" w:after="60"/>
      <w:ind w:left="4320" w:hanging="720"/>
      <w:outlineLvl w:val="5"/>
    </w:pPr>
    <w:rPr>
      <w:rFonts w:ascii="Arial" w:hAnsi="Arial"/>
      <w:i/>
      <w:lang w:val="x-none" w:eastAsia="x-none"/>
    </w:rPr>
  </w:style>
  <w:style w:type="paragraph" w:styleId="Heading7">
    <w:name w:val="heading 7"/>
    <w:basedOn w:val="Normal"/>
    <w:next w:val="Normal"/>
    <w:link w:val="Heading7Char"/>
    <w:pPr>
      <w:spacing w:before="240" w:after="60"/>
      <w:ind w:left="5040" w:hanging="720"/>
      <w:outlineLvl w:val="6"/>
    </w:pPr>
    <w:rPr>
      <w:rFonts w:ascii="Arial" w:hAnsi="Arial"/>
      <w:sz w:val="20"/>
      <w:lang w:val="x-none" w:eastAsia="x-none"/>
    </w:rPr>
  </w:style>
  <w:style w:type="paragraph" w:styleId="Heading8">
    <w:name w:val="heading 8"/>
    <w:basedOn w:val="Normal"/>
    <w:next w:val="Normal"/>
    <w:link w:val="Heading8Char"/>
    <w:pPr>
      <w:spacing w:before="240" w:after="60"/>
      <w:ind w:left="5760" w:hanging="720"/>
      <w:outlineLvl w:val="7"/>
    </w:pPr>
    <w:rPr>
      <w:rFonts w:ascii="Arial" w:hAnsi="Arial"/>
      <w:i/>
      <w:sz w:val="20"/>
      <w:lang w:val="x-none" w:eastAsia="x-none"/>
    </w:rPr>
  </w:style>
  <w:style w:type="paragraph" w:styleId="Heading9">
    <w:name w:val="heading 9"/>
    <w:basedOn w:val="Normal"/>
    <w:next w:val="Normal"/>
    <w:link w:val="Heading9Char"/>
    <w:pPr>
      <w:spacing w:before="240" w:after="60"/>
      <w:ind w:left="6480" w:hanging="720"/>
      <w:outlineLvl w:val="8"/>
    </w:pPr>
    <w:rPr>
      <w:rFonts w:ascii="Arial" w:hAnsi="Arial"/>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lang w:val="x-none" w:eastAsia="x-none"/>
    </w:rPr>
  </w:style>
  <w:style w:type="character" w:styleId="PageNumber">
    <w:name w:val="page number"/>
    <w:rPr>
      <w:sz w:val="20"/>
    </w:rPr>
  </w:style>
  <w:style w:type="paragraph" w:styleId="Title">
    <w:name w:val="Title"/>
    <w:basedOn w:val="Normal"/>
    <w:link w:val="TitleChar"/>
    <w:qFormat/>
    <w:pPr>
      <w:widowControl/>
      <w:jc w:val="center"/>
    </w:pPr>
    <w:rPr>
      <w:b/>
      <w:lang w:val="x-none" w:eastAsia="x-none"/>
    </w:rPr>
  </w:style>
  <w:style w:type="paragraph" w:styleId="BodyTextIndent">
    <w:name w:val="Body Text Indent"/>
    <w:basedOn w:val="Normal"/>
    <w:link w:val="BodyTextIndentChar"/>
    <w:pPr>
      <w:ind w:left="1440" w:hanging="720"/>
    </w:pPr>
    <w:rPr>
      <w:lang w:val="x-none" w:eastAsia="x-none"/>
    </w:rPr>
  </w:style>
  <w:style w:type="paragraph" w:styleId="BodyTextIndent2">
    <w:name w:val="Body Text Indent 2"/>
    <w:basedOn w:val="Normal"/>
    <w:link w:val="BodyTextIndent2Char"/>
    <w:pPr>
      <w:widowControl/>
      <w:ind w:left="1440"/>
    </w:pPr>
    <w:rPr>
      <w:lang w:val="x-none" w:eastAsia="x-none"/>
    </w:rPr>
  </w:style>
  <w:style w:type="paragraph" w:styleId="BodyTextIndent3">
    <w:name w:val="Body Text Indent 3"/>
    <w:basedOn w:val="Normal"/>
    <w:link w:val="BodyTextIndent3Char"/>
    <w:pPr>
      <w:keepNext/>
      <w:keepLines/>
      <w:widowControl/>
      <w:ind w:left="2160" w:hanging="720"/>
    </w:pPr>
    <w:rPr>
      <w:lang w:val="x-none" w:eastAsia="x-none"/>
    </w:rPr>
  </w:style>
  <w:style w:type="paragraph" w:styleId="BodyText">
    <w:name w:val="Body Text"/>
    <w:basedOn w:val="Normal"/>
    <w:link w:val="BodyTextChar"/>
    <w:pPr>
      <w:tabs>
        <w:tab w:val="num" w:pos="1440"/>
      </w:tabs>
    </w:pPr>
    <w:rPr>
      <w:sz w:val="20"/>
    </w:rPr>
  </w:style>
  <w:style w:type="paragraph" w:styleId="BodyText2">
    <w:name w:val="Body Text 2"/>
    <w:basedOn w:val="Normal"/>
    <w:link w:val="BodyText2Char"/>
    <w:rPr>
      <w:color w:val="000000"/>
      <w:lang w:val="x-none" w:eastAsia="x-none"/>
    </w:rPr>
  </w:style>
  <w:style w:type="paragraph" w:styleId="BodyText3">
    <w:name w:val="Body Text 3"/>
    <w:basedOn w:val="Normal"/>
    <w:link w:val="BodyText3Char"/>
    <w:rPr>
      <w:b/>
      <w:bCs/>
      <w:lang w:val="x-none" w:eastAsia="x-none"/>
    </w:rPr>
  </w:style>
  <w:style w:type="character" w:styleId="Hyperlink">
    <w:name w:val="Hyperlink"/>
    <w:uiPriority w:val="99"/>
    <w:rPr>
      <w:color w:val="0000FF"/>
      <w:u w:val="single"/>
    </w:rPr>
  </w:style>
  <w:style w:type="paragraph" w:styleId="BalloonText">
    <w:name w:val="Balloon Text"/>
    <w:basedOn w:val="Normal"/>
    <w:link w:val="BalloonTextChar"/>
    <w:semiHidden/>
    <w:rsid w:val="00024B84"/>
    <w:rPr>
      <w:rFonts w:ascii="Tahoma" w:hAnsi="Tahoma"/>
      <w:sz w:val="16"/>
      <w:szCs w:val="16"/>
      <w:lang w:val="x-none" w:eastAsia="x-none"/>
    </w:rPr>
  </w:style>
  <w:style w:type="table" w:styleId="TableGrid">
    <w:name w:val="Table Grid"/>
    <w:basedOn w:val="TableNormal"/>
    <w:rsid w:val="00532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477037"/>
    <w:rPr>
      <w:sz w:val="22"/>
    </w:rPr>
  </w:style>
  <w:style w:type="character" w:customStyle="1" w:styleId="HeaderChar">
    <w:name w:val="Header Char"/>
    <w:link w:val="Header"/>
    <w:locked/>
    <w:rsid w:val="0076292B"/>
    <w:rPr>
      <w:sz w:val="22"/>
      <w:lang w:val="en-US" w:eastAsia="en-US" w:bidi="ar-SA"/>
    </w:rPr>
  </w:style>
  <w:style w:type="character" w:styleId="FollowedHyperlink">
    <w:name w:val="FollowedHyperlink"/>
    <w:uiPriority w:val="99"/>
    <w:unhideWhenUsed/>
    <w:rsid w:val="00AA72D6"/>
    <w:rPr>
      <w:color w:val="800080"/>
      <w:u w:val="single"/>
    </w:rPr>
  </w:style>
  <w:style w:type="paragraph" w:customStyle="1" w:styleId="xl75">
    <w:name w:val="xl75"/>
    <w:basedOn w:val="Normal"/>
    <w:rsid w:val="00AA72D6"/>
    <w:pPr>
      <w:widowControl/>
      <w:shd w:val="clear" w:color="000000" w:fill="0000FF"/>
      <w:spacing w:before="100" w:beforeAutospacing="1" w:after="100" w:afterAutospacing="1"/>
      <w:textAlignment w:val="top"/>
    </w:pPr>
    <w:rPr>
      <w:b/>
      <w:bCs/>
      <w:color w:val="FFFFFF"/>
      <w:sz w:val="24"/>
      <w:szCs w:val="24"/>
    </w:rPr>
  </w:style>
  <w:style w:type="paragraph" w:customStyle="1" w:styleId="xl76">
    <w:name w:val="xl76"/>
    <w:basedOn w:val="Normal"/>
    <w:rsid w:val="00AA72D6"/>
    <w:pPr>
      <w:widowControl/>
      <w:spacing w:before="100" w:beforeAutospacing="1" w:after="100" w:afterAutospacing="1"/>
      <w:textAlignment w:val="top"/>
    </w:pPr>
    <w:rPr>
      <w:sz w:val="24"/>
      <w:szCs w:val="24"/>
    </w:rPr>
  </w:style>
  <w:style w:type="paragraph" w:customStyle="1" w:styleId="xl77">
    <w:name w:val="xl77"/>
    <w:basedOn w:val="Normal"/>
    <w:rsid w:val="00AA72D6"/>
    <w:pPr>
      <w:widowControl/>
      <w:spacing w:before="100" w:beforeAutospacing="1" w:after="100" w:afterAutospacing="1"/>
    </w:pPr>
    <w:rPr>
      <w:sz w:val="24"/>
      <w:szCs w:val="24"/>
    </w:rPr>
  </w:style>
  <w:style w:type="paragraph" w:customStyle="1" w:styleId="xl78">
    <w:name w:val="xl78"/>
    <w:basedOn w:val="Normal"/>
    <w:rsid w:val="00AA72D6"/>
    <w:pPr>
      <w:widowControl/>
      <w:spacing w:before="100" w:beforeAutospacing="1" w:after="100" w:afterAutospacing="1"/>
      <w:textAlignment w:val="top"/>
    </w:pPr>
    <w:rPr>
      <w:sz w:val="24"/>
      <w:szCs w:val="24"/>
    </w:rPr>
  </w:style>
  <w:style w:type="paragraph" w:customStyle="1" w:styleId="xl79">
    <w:name w:val="xl79"/>
    <w:basedOn w:val="Normal"/>
    <w:rsid w:val="00AA72D6"/>
    <w:pPr>
      <w:widowControl/>
      <w:spacing w:before="100" w:beforeAutospacing="1" w:after="100" w:afterAutospacing="1"/>
    </w:pPr>
    <w:rPr>
      <w:sz w:val="24"/>
      <w:szCs w:val="24"/>
    </w:rPr>
  </w:style>
  <w:style w:type="paragraph" w:customStyle="1" w:styleId="xl80">
    <w:name w:val="xl80"/>
    <w:basedOn w:val="Normal"/>
    <w:rsid w:val="00AA72D6"/>
    <w:pPr>
      <w:widowControl/>
      <w:shd w:val="clear" w:color="000000" w:fill="0000FF"/>
      <w:spacing w:before="100" w:beforeAutospacing="1" w:after="100" w:afterAutospacing="1"/>
      <w:textAlignment w:val="top"/>
    </w:pPr>
    <w:rPr>
      <w:b/>
      <w:bCs/>
      <w:color w:val="FFFFFF"/>
      <w:sz w:val="24"/>
      <w:szCs w:val="24"/>
    </w:rPr>
  </w:style>
  <w:style w:type="paragraph" w:customStyle="1" w:styleId="xl81">
    <w:name w:val="xl81"/>
    <w:basedOn w:val="Normal"/>
    <w:rsid w:val="00AA72D6"/>
    <w:pPr>
      <w:widowControl/>
      <w:shd w:val="clear" w:color="000000" w:fill="FF8080"/>
      <w:spacing w:before="100" w:beforeAutospacing="1" w:after="100" w:afterAutospacing="1"/>
      <w:textAlignment w:val="top"/>
    </w:pPr>
    <w:rPr>
      <w:b/>
      <w:bCs/>
      <w:color w:val="FFFFFF"/>
      <w:sz w:val="24"/>
      <w:szCs w:val="24"/>
    </w:rPr>
  </w:style>
  <w:style w:type="paragraph" w:customStyle="1" w:styleId="xl82">
    <w:name w:val="xl82"/>
    <w:basedOn w:val="Normal"/>
    <w:rsid w:val="00AA72D6"/>
    <w:pPr>
      <w:widowControl/>
      <w:spacing w:before="100" w:beforeAutospacing="1" w:after="100" w:afterAutospacing="1"/>
    </w:pPr>
    <w:rPr>
      <w:rFonts w:ascii="Calibri" w:hAnsi="Calibri"/>
      <w:b/>
      <w:bCs/>
      <w:color w:val="000000"/>
      <w:szCs w:val="22"/>
    </w:rPr>
  </w:style>
  <w:style w:type="paragraph" w:customStyle="1" w:styleId="xl83">
    <w:name w:val="xl83"/>
    <w:basedOn w:val="Normal"/>
    <w:rsid w:val="00AA72D6"/>
    <w:pPr>
      <w:widowControl/>
      <w:shd w:val="clear" w:color="000000" w:fill="FF0000"/>
      <w:spacing w:before="100" w:beforeAutospacing="1" w:after="100" w:afterAutospacing="1"/>
    </w:pPr>
    <w:rPr>
      <w:sz w:val="24"/>
      <w:szCs w:val="24"/>
    </w:rPr>
  </w:style>
  <w:style w:type="paragraph" w:customStyle="1" w:styleId="xl84">
    <w:name w:val="xl84"/>
    <w:basedOn w:val="Normal"/>
    <w:rsid w:val="00AA72D6"/>
    <w:pPr>
      <w:widowControl/>
      <w:spacing w:before="100" w:beforeAutospacing="1" w:after="100" w:afterAutospacing="1"/>
    </w:pPr>
    <w:rPr>
      <w:sz w:val="24"/>
      <w:szCs w:val="24"/>
    </w:rPr>
  </w:style>
  <w:style w:type="paragraph" w:customStyle="1" w:styleId="xl85">
    <w:name w:val="xl85"/>
    <w:basedOn w:val="Normal"/>
    <w:rsid w:val="00AA72D6"/>
    <w:pPr>
      <w:widowControl/>
      <w:shd w:val="clear" w:color="000000" w:fill="FFFF00"/>
      <w:spacing w:before="100" w:beforeAutospacing="1" w:after="100" w:afterAutospacing="1"/>
    </w:pPr>
    <w:rPr>
      <w:sz w:val="24"/>
      <w:szCs w:val="24"/>
    </w:rPr>
  </w:style>
  <w:style w:type="paragraph" w:customStyle="1" w:styleId="xl86">
    <w:name w:val="xl86"/>
    <w:basedOn w:val="Normal"/>
    <w:rsid w:val="00AA72D6"/>
    <w:pPr>
      <w:widowControl/>
      <w:shd w:val="clear" w:color="000000" w:fill="FFFF00"/>
      <w:spacing w:before="100" w:beforeAutospacing="1" w:after="100" w:afterAutospacing="1"/>
      <w:textAlignment w:val="top"/>
    </w:pPr>
    <w:rPr>
      <w:sz w:val="24"/>
      <w:szCs w:val="24"/>
    </w:rPr>
  </w:style>
  <w:style w:type="paragraph" w:customStyle="1" w:styleId="xl87">
    <w:name w:val="xl87"/>
    <w:basedOn w:val="Normal"/>
    <w:rsid w:val="00AA72D6"/>
    <w:pPr>
      <w:widowControl/>
      <w:shd w:val="clear" w:color="000000" w:fill="FF0000"/>
      <w:spacing w:before="100" w:beforeAutospacing="1" w:after="100" w:afterAutospacing="1"/>
      <w:textAlignment w:val="top"/>
    </w:pPr>
    <w:rPr>
      <w:sz w:val="24"/>
      <w:szCs w:val="24"/>
    </w:rPr>
  </w:style>
  <w:style w:type="paragraph" w:styleId="ListParagraph">
    <w:name w:val="List Paragraph"/>
    <w:basedOn w:val="Normal"/>
    <w:uiPriority w:val="34"/>
    <w:qFormat/>
    <w:rsid w:val="00AA72D6"/>
    <w:pPr>
      <w:widowControl/>
      <w:spacing w:after="200" w:line="276" w:lineRule="auto"/>
      <w:ind w:left="720"/>
      <w:contextualSpacing/>
    </w:pPr>
    <w:rPr>
      <w:rFonts w:ascii="Calibri" w:eastAsia="Calibri" w:hAnsi="Calibri"/>
      <w:szCs w:val="22"/>
    </w:rPr>
  </w:style>
  <w:style w:type="character" w:customStyle="1" w:styleId="BodyTextChar">
    <w:name w:val="Body Text Char"/>
    <w:basedOn w:val="DefaultParagraphFont"/>
    <w:link w:val="BodyText"/>
    <w:rsid w:val="000F30BC"/>
  </w:style>
  <w:style w:type="character" w:customStyle="1" w:styleId="Heading1Char">
    <w:name w:val="Heading 1 Char"/>
    <w:link w:val="Heading1"/>
    <w:rsid w:val="003F4EC1"/>
    <w:rPr>
      <w:b/>
      <w:sz w:val="24"/>
      <w:szCs w:val="24"/>
      <w:lang w:eastAsia="en-US"/>
    </w:rPr>
  </w:style>
  <w:style w:type="character" w:customStyle="1" w:styleId="Heading2Char">
    <w:name w:val="Heading 2 Char"/>
    <w:link w:val="Heading2"/>
    <w:rsid w:val="00A0322A"/>
    <w:rPr>
      <w:b/>
      <w:sz w:val="22"/>
      <w:szCs w:val="22"/>
      <w:u w:val="single"/>
      <w:lang w:eastAsia="en-US"/>
    </w:rPr>
  </w:style>
  <w:style w:type="character" w:customStyle="1" w:styleId="Heading3Char">
    <w:name w:val="Heading 3 Char"/>
    <w:link w:val="Heading3"/>
    <w:rsid w:val="009D1DA6"/>
    <w:rPr>
      <w:b/>
      <w:sz w:val="24"/>
    </w:rPr>
  </w:style>
  <w:style w:type="character" w:customStyle="1" w:styleId="Heading4Char">
    <w:name w:val="Heading 4 Char"/>
    <w:link w:val="Heading4"/>
    <w:rsid w:val="009D1DA6"/>
    <w:rPr>
      <w:b/>
      <w:i/>
      <w:sz w:val="24"/>
    </w:rPr>
  </w:style>
  <w:style w:type="character" w:customStyle="1" w:styleId="Heading5Char">
    <w:name w:val="Heading 5 Char"/>
    <w:link w:val="Heading5"/>
    <w:rsid w:val="009D1DA6"/>
    <w:rPr>
      <w:rFonts w:ascii="Arial" w:hAnsi="Arial"/>
      <w:sz w:val="22"/>
    </w:rPr>
  </w:style>
  <w:style w:type="character" w:customStyle="1" w:styleId="Heading6Char">
    <w:name w:val="Heading 6 Char"/>
    <w:link w:val="Heading6"/>
    <w:rsid w:val="009D1DA6"/>
    <w:rPr>
      <w:rFonts w:ascii="Arial" w:hAnsi="Arial"/>
      <w:i/>
      <w:sz w:val="22"/>
    </w:rPr>
  </w:style>
  <w:style w:type="character" w:customStyle="1" w:styleId="Heading7Char">
    <w:name w:val="Heading 7 Char"/>
    <w:link w:val="Heading7"/>
    <w:rsid w:val="009D1DA6"/>
    <w:rPr>
      <w:rFonts w:ascii="Arial" w:hAnsi="Arial"/>
    </w:rPr>
  </w:style>
  <w:style w:type="character" w:customStyle="1" w:styleId="Heading8Char">
    <w:name w:val="Heading 8 Char"/>
    <w:link w:val="Heading8"/>
    <w:rsid w:val="009D1DA6"/>
    <w:rPr>
      <w:rFonts w:ascii="Arial" w:hAnsi="Arial"/>
      <w:i/>
    </w:rPr>
  </w:style>
  <w:style w:type="character" w:customStyle="1" w:styleId="Heading9Char">
    <w:name w:val="Heading 9 Char"/>
    <w:link w:val="Heading9"/>
    <w:rsid w:val="009D1DA6"/>
    <w:rPr>
      <w:rFonts w:ascii="Arial" w:hAnsi="Arial"/>
      <w:i/>
      <w:sz w:val="18"/>
    </w:rPr>
  </w:style>
  <w:style w:type="character" w:customStyle="1" w:styleId="TitleChar">
    <w:name w:val="Title Char"/>
    <w:link w:val="Title"/>
    <w:rsid w:val="009D1DA6"/>
    <w:rPr>
      <w:b/>
      <w:sz w:val="22"/>
    </w:rPr>
  </w:style>
  <w:style w:type="character" w:customStyle="1" w:styleId="BodyTextIndentChar">
    <w:name w:val="Body Text Indent Char"/>
    <w:link w:val="BodyTextIndent"/>
    <w:rsid w:val="009D1DA6"/>
    <w:rPr>
      <w:sz w:val="22"/>
    </w:rPr>
  </w:style>
  <w:style w:type="character" w:customStyle="1" w:styleId="BodyTextIndent2Char">
    <w:name w:val="Body Text Indent 2 Char"/>
    <w:link w:val="BodyTextIndent2"/>
    <w:rsid w:val="009D1DA6"/>
    <w:rPr>
      <w:sz w:val="22"/>
    </w:rPr>
  </w:style>
  <w:style w:type="character" w:customStyle="1" w:styleId="BodyTextIndent3Char">
    <w:name w:val="Body Text Indent 3 Char"/>
    <w:link w:val="BodyTextIndent3"/>
    <w:rsid w:val="009D1DA6"/>
    <w:rPr>
      <w:sz w:val="22"/>
    </w:rPr>
  </w:style>
  <w:style w:type="character" w:customStyle="1" w:styleId="BodyText2Char">
    <w:name w:val="Body Text 2 Char"/>
    <w:link w:val="BodyText2"/>
    <w:rsid w:val="009D1DA6"/>
    <w:rPr>
      <w:color w:val="000000"/>
      <w:sz w:val="22"/>
    </w:rPr>
  </w:style>
  <w:style w:type="character" w:customStyle="1" w:styleId="BodyText3Char">
    <w:name w:val="Body Text 3 Char"/>
    <w:link w:val="BodyText3"/>
    <w:rsid w:val="009D1DA6"/>
    <w:rPr>
      <w:b/>
      <w:bCs/>
      <w:sz w:val="22"/>
    </w:rPr>
  </w:style>
  <w:style w:type="character" w:customStyle="1" w:styleId="BalloonTextChar">
    <w:name w:val="Balloon Text Char"/>
    <w:link w:val="BalloonText"/>
    <w:semiHidden/>
    <w:rsid w:val="009D1DA6"/>
    <w:rPr>
      <w:rFonts w:ascii="Tahoma" w:hAnsi="Tahoma" w:cs="Tahoma"/>
      <w:sz w:val="16"/>
      <w:szCs w:val="16"/>
    </w:rPr>
  </w:style>
  <w:style w:type="paragraph" w:customStyle="1" w:styleId="Bullet1">
    <w:name w:val="Bullet 1"/>
    <w:basedOn w:val="Normal"/>
    <w:rsid w:val="009D1DA6"/>
    <w:pPr>
      <w:numPr>
        <w:numId w:val="1"/>
      </w:numPr>
    </w:pPr>
  </w:style>
  <w:style w:type="paragraph" w:styleId="PlainText">
    <w:name w:val="Plain Text"/>
    <w:basedOn w:val="Normal"/>
    <w:link w:val="PlainTextChar"/>
    <w:uiPriority w:val="99"/>
    <w:unhideWhenUsed/>
    <w:rsid w:val="00620EB6"/>
    <w:pPr>
      <w:widowControl/>
    </w:pPr>
    <w:rPr>
      <w:rFonts w:ascii="Calibri" w:hAnsi="Calibri"/>
      <w:szCs w:val="22"/>
      <w:lang w:val="x-none" w:eastAsia="x-none"/>
    </w:rPr>
  </w:style>
  <w:style w:type="character" w:customStyle="1" w:styleId="PlainTextChar">
    <w:name w:val="Plain Text Char"/>
    <w:link w:val="PlainText"/>
    <w:uiPriority w:val="99"/>
    <w:rsid w:val="00620EB6"/>
    <w:rPr>
      <w:rFonts w:ascii="Calibri" w:eastAsia="SimSun" w:hAnsi="Calibri" w:cs="Calibri"/>
      <w:sz w:val="22"/>
      <w:szCs w:val="22"/>
    </w:rPr>
  </w:style>
  <w:style w:type="character" w:styleId="UnresolvedMention">
    <w:name w:val="Unresolved Mention"/>
    <w:uiPriority w:val="99"/>
    <w:unhideWhenUsed/>
    <w:rsid w:val="003F4EC1"/>
    <w:rPr>
      <w:color w:val="605E5C"/>
      <w:shd w:val="clear" w:color="auto" w:fill="E1DFDD"/>
    </w:rPr>
  </w:style>
  <w:style w:type="character" w:styleId="CommentReference">
    <w:name w:val="annotation reference"/>
    <w:unhideWhenUsed/>
    <w:rsid w:val="00103FA4"/>
    <w:rPr>
      <w:sz w:val="16"/>
      <w:szCs w:val="16"/>
    </w:rPr>
  </w:style>
  <w:style w:type="paragraph" w:styleId="CommentText">
    <w:name w:val="annotation text"/>
    <w:basedOn w:val="Normal"/>
    <w:link w:val="CommentTextChar"/>
    <w:unhideWhenUsed/>
    <w:rsid w:val="00103FA4"/>
    <w:rPr>
      <w:sz w:val="20"/>
    </w:rPr>
  </w:style>
  <w:style w:type="character" w:customStyle="1" w:styleId="CommentTextChar">
    <w:name w:val="Comment Text Char"/>
    <w:link w:val="CommentText"/>
    <w:rsid w:val="00103FA4"/>
    <w:rPr>
      <w:lang w:eastAsia="en-US"/>
    </w:rPr>
  </w:style>
  <w:style w:type="paragraph" w:styleId="CommentSubject">
    <w:name w:val="annotation subject"/>
    <w:basedOn w:val="CommentText"/>
    <w:next w:val="CommentText"/>
    <w:link w:val="CommentSubjectChar"/>
    <w:semiHidden/>
    <w:unhideWhenUsed/>
    <w:rsid w:val="00103FA4"/>
    <w:rPr>
      <w:b/>
      <w:bCs/>
    </w:rPr>
  </w:style>
  <w:style w:type="character" w:customStyle="1" w:styleId="CommentSubjectChar">
    <w:name w:val="Comment Subject Char"/>
    <w:link w:val="CommentSubject"/>
    <w:semiHidden/>
    <w:rsid w:val="00103FA4"/>
    <w:rPr>
      <w:b/>
      <w:bCs/>
      <w:lang w:eastAsia="en-US"/>
    </w:rPr>
  </w:style>
  <w:style w:type="character" w:styleId="Strong">
    <w:name w:val="Strong"/>
    <w:uiPriority w:val="22"/>
    <w:qFormat/>
    <w:rsid w:val="003023D0"/>
    <w:rPr>
      <w:b/>
      <w:bCs/>
      <w:u w:val="single"/>
    </w:rPr>
  </w:style>
  <w:style w:type="paragraph" w:customStyle="1" w:styleId="Default">
    <w:name w:val="Default"/>
    <w:rsid w:val="00561DEC"/>
    <w:pPr>
      <w:autoSpaceDE w:val="0"/>
      <w:autoSpaceDN w:val="0"/>
      <w:adjustRightInd w:val="0"/>
    </w:pPr>
    <w:rPr>
      <w:rFonts w:eastAsia="Calibri"/>
      <w:color w:val="000000"/>
      <w:sz w:val="24"/>
      <w:szCs w:val="24"/>
      <w:lang w:val="en-US" w:eastAsia="en-US"/>
    </w:rPr>
  </w:style>
  <w:style w:type="paragraph" w:customStyle="1" w:styleId="Heading1WOEA">
    <w:name w:val="Heading 1 WOEA"/>
    <w:basedOn w:val="Heading1"/>
    <w:qFormat/>
    <w:rsid w:val="00532BA6"/>
  </w:style>
  <w:style w:type="paragraph" w:styleId="Revision">
    <w:name w:val="Revision"/>
    <w:hidden/>
    <w:uiPriority w:val="99"/>
    <w:semiHidden/>
    <w:rsid w:val="008C4037"/>
    <w:rPr>
      <w:sz w:val="22"/>
      <w:lang w:val="en-US" w:eastAsia="en-US"/>
    </w:rPr>
  </w:style>
  <w:style w:type="paragraph" w:customStyle="1" w:styleId="ProductAppendecisBody">
    <w:name w:val="Product Appendecis Body"/>
    <w:qFormat/>
    <w:rsid w:val="00A54892"/>
    <w:rPr>
      <w:rFonts w:eastAsia="Calibri" w:cs="Arial"/>
      <w:sz w:val="22"/>
      <w:szCs w:val="22"/>
      <w:lang w:val="en-IN" w:eastAsia="en-US"/>
    </w:rPr>
  </w:style>
  <w:style w:type="paragraph" w:customStyle="1" w:styleId="ProductAppendecisLevel1">
    <w:name w:val="Product Appendecis Level 1"/>
    <w:qFormat/>
    <w:rsid w:val="00A54892"/>
    <w:rPr>
      <w:rFonts w:eastAsia="Calibri" w:cs="Arial"/>
      <w:sz w:val="22"/>
      <w:szCs w:val="22"/>
      <w:lang w:val="en-IN" w:eastAsia="en-US"/>
    </w:rPr>
  </w:style>
  <w:style w:type="paragraph" w:customStyle="1" w:styleId="ProductAppendecisLevel4">
    <w:name w:val="Product Appendecis Level 4"/>
    <w:qFormat/>
    <w:rsid w:val="009F496D"/>
    <w:rPr>
      <w:rFonts w:eastAsia="Calibri" w:cs="Arial"/>
      <w:sz w:val="22"/>
      <w:szCs w:val="22"/>
      <w:lang w:val="en-IN" w:eastAsia="en-US"/>
    </w:rPr>
  </w:style>
  <w:style w:type="paragraph" w:customStyle="1" w:styleId="ProductAppendecisLevel5">
    <w:name w:val="Product Appendecis Level 5"/>
    <w:qFormat/>
    <w:rsid w:val="003E2D73"/>
    <w:rPr>
      <w:rFonts w:eastAsia="Calibri" w:cs="Arial"/>
      <w:sz w:val="22"/>
      <w:szCs w:val="22"/>
      <w:lang w:val="en-IN" w:eastAsia="en-US"/>
    </w:rPr>
  </w:style>
  <w:style w:type="paragraph" w:customStyle="1" w:styleId="ProductAppendicesTitle">
    <w:name w:val="Product Appendices Title"/>
    <w:qFormat/>
    <w:rsid w:val="003E2D73"/>
    <w:rPr>
      <w:rFonts w:eastAsia="Calibri" w:cs="Arial"/>
      <w:b/>
      <w:sz w:val="22"/>
      <w:szCs w:val="22"/>
      <w:lang w:val="en-IN" w:eastAsia="en-US"/>
    </w:rPr>
  </w:style>
  <w:style w:type="character" w:styleId="PlaceholderText">
    <w:name w:val="Placeholder Text"/>
    <w:uiPriority w:val="99"/>
    <w:semiHidden/>
    <w:rsid w:val="00E33E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3834">
      <w:bodyDiv w:val="1"/>
      <w:marLeft w:val="0"/>
      <w:marRight w:val="0"/>
      <w:marTop w:val="0"/>
      <w:marBottom w:val="0"/>
      <w:divBdr>
        <w:top w:val="none" w:sz="0" w:space="0" w:color="auto"/>
        <w:left w:val="none" w:sz="0" w:space="0" w:color="auto"/>
        <w:bottom w:val="none" w:sz="0" w:space="0" w:color="auto"/>
        <w:right w:val="none" w:sz="0" w:space="0" w:color="auto"/>
      </w:divBdr>
    </w:div>
    <w:div w:id="122893609">
      <w:bodyDiv w:val="1"/>
      <w:marLeft w:val="0"/>
      <w:marRight w:val="0"/>
      <w:marTop w:val="0"/>
      <w:marBottom w:val="0"/>
      <w:divBdr>
        <w:top w:val="none" w:sz="0" w:space="0" w:color="auto"/>
        <w:left w:val="none" w:sz="0" w:space="0" w:color="auto"/>
        <w:bottom w:val="none" w:sz="0" w:space="0" w:color="auto"/>
        <w:right w:val="none" w:sz="0" w:space="0" w:color="auto"/>
      </w:divBdr>
    </w:div>
    <w:div w:id="158348671">
      <w:bodyDiv w:val="1"/>
      <w:marLeft w:val="0"/>
      <w:marRight w:val="0"/>
      <w:marTop w:val="0"/>
      <w:marBottom w:val="0"/>
      <w:divBdr>
        <w:top w:val="none" w:sz="0" w:space="0" w:color="auto"/>
        <w:left w:val="none" w:sz="0" w:space="0" w:color="auto"/>
        <w:bottom w:val="none" w:sz="0" w:space="0" w:color="auto"/>
        <w:right w:val="none" w:sz="0" w:space="0" w:color="auto"/>
      </w:divBdr>
    </w:div>
    <w:div w:id="336230016">
      <w:bodyDiv w:val="1"/>
      <w:marLeft w:val="0"/>
      <w:marRight w:val="0"/>
      <w:marTop w:val="0"/>
      <w:marBottom w:val="0"/>
      <w:divBdr>
        <w:top w:val="none" w:sz="0" w:space="0" w:color="auto"/>
        <w:left w:val="none" w:sz="0" w:space="0" w:color="auto"/>
        <w:bottom w:val="none" w:sz="0" w:space="0" w:color="auto"/>
        <w:right w:val="none" w:sz="0" w:space="0" w:color="auto"/>
      </w:divBdr>
    </w:div>
    <w:div w:id="421950394">
      <w:bodyDiv w:val="1"/>
      <w:marLeft w:val="0"/>
      <w:marRight w:val="0"/>
      <w:marTop w:val="0"/>
      <w:marBottom w:val="0"/>
      <w:divBdr>
        <w:top w:val="none" w:sz="0" w:space="0" w:color="auto"/>
        <w:left w:val="none" w:sz="0" w:space="0" w:color="auto"/>
        <w:bottom w:val="none" w:sz="0" w:space="0" w:color="auto"/>
        <w:right w:val="none" w:sz="0" w:space="0" w:color="auto"/>
      </w:divBdr>
    </w:div>
    <w:div w:id="458912832">
      <w:bodyDiv w:val="1"/>
      <w:marLeft w:val="0"/>
      <w:marRight w:val="0"/>
      <w:marTop w:val="0"/>
      <w:marBottom w:val="0"/>
      <w:divBdr>
        <w:top w:val="none" w:sz="0" w:space="0" w:color="auto"/>
        <w:left w:val="none" w:sz="0" w:space="0" w:color="auto"/>
        <w:bottom w:val="none" w:sz="0" w:space="0" w:color="auto"/>
        <w:right w:val="none" w:sz="0" w:space="0" w:color="auto"/>
      </w:divBdr>
    </w:div>
    <w:div w:id="542864586">
      <w:bodyDiv w:val="1"/>
      <w:marLeft w:val="0"/>
      <w:marRight w:val="0"/>
      <w:marTop w:val="0"/>
      <w:marBottom w:val="0"/>
      <w:divBdr>
        <w:top w:val="none" w:sz="0" w:space="0" w:color="auto"/>
        <w:left w:val="none" w:sz="0" w:space="0" w:color="auto"/>
        <w:bottom w:val="none" w:sz="0" w:space="0" w:color="auto"/>
        <w:right w:val="none" w:sz="0" w:space="0" w:color="auto"/>
      </w:divBdr>
    </w:div>
    <w:div w:id="933706798">
      <w:bodyDiv w:val="1"/>
      <w:marLeft w:val="0"/>
      <w:marRight w:val="0"/>
      <w:marTop w:val="0"/>
      <w:marBottom w:val="0"/>
      <w:divBdr>
        <w:top w:val="none" w:sz="0" w:space="0" w:color="auto"/>
        <w:left w:val="none" w:sz="0" w:space="0" w:color="auto"/>
        <w:bottom w:val="none" w:sz="0" w:space="0" w:color="auto"/>
        <w:right w:val="none" w:sz="0" w:space="0" w:color="auto"/>
      </w:divBdr>
    </w:div>
    <w:div w:id="943729381">
      <w:bodyDiv w:val="1"/>
      <w:marLeft w:val="0"/>
      <w:marRight w:val="0"/>
      <w:marTop w:val="0"/>
      <w:marBottom w:val="0"/>
      <w:divBdr>
        <w:top w:val="none" w:sz="0" w:space="0" w:color="auto"/>
        <w:left w:val="none" w:sz="0" w:space="0" w:color="auto"/>
        <w:bottom w:val="none" w:sz="0" w:space="0" w:color="auto"/>
        <w:right w:val="none" w:sz="0" w:space="0" w:color="auto"/>
      </w:divBdr>
    </w:div>
    <w:div w:id="952522072">
      <w:bodyDiv w:val="1"/>
      <w:marLeft w:val="0"/>
      <w:marRight w:val="0"/>
      <w:marTop w:val="0"/>
      <w:marBottom w:val="0"/>
      <w:divBdr>
        <w:top w:val="none" w:sz="0" w:space="0" w:color="auto"/>
        <w:left w:val="none" w:sz="0" w:space="0" w:color="auto"/>
        <w:bottom w:val="none" w:sz="0" w:space="0" w:color="auto"/>
        <w:right w:val="none" w:sz="0" w:space="0" w:color="auto"/>
      </w:divBdr>
    </w:div>
    <w:div w:id="998001337">
      <w:bodyDiv w:val="1"/>
      <w:marLeft w:val="0"/>
      <w:marRight w:val="0"/>
      <w:marTop w:val="0"/>
      <w:marBottom w:val="0"/>
      <w:divBdr>
        <w:top w:val="none" w:sz="0" w:space="0" w:color="auto"/>
        <w:left w:val="none" w:sz="0" w:space="0" w:color="auto"/>
        <w:bottom w:val="none" w:sz="0" w:space="0" w:color="auto"/>
        <w:right w:val="none" w:sz="0" w:space="0" w:color="auto"/>
      </w:divBdr>
    </w:div>
    <w:div w:id="1119105331">
      <w:bodyDiv w:val="1"/>
      <w:marLeft w:val="0"/>
      <w:marRight w:val="0"/>
      <w:marTop w:val="0"/>
      <w:marBottom w:val="0"/>
      <w:divBdr>
        <w:top w:val="none" w:sz="0" w:space="0" w:color="auto"/>
        <w:left w:val="none" w:sz="0" w:space="0" w:color="auto"/>
        <w:bottom w:val="none" w:sz="0" w:space="0" w:color="auto"/>
        <w:right w:val="none" w:sz="0" w:space="0" w:color="auto"/>
      </w:divBdr>
    </w:div>
    <w:div w:id="1328557474">
      <w:bodyDiv w:val="1"/>
      <w:marLeft w:val="0"/>
      <w:marRight w:val="0"/>
      <w:marTop w:val="0"/>
      <w:marBottom w:val="0"/>
      <w:divBdr>
        <w:top w:val="none" w:sz="0" w:space="0" w:color="auto"/>
        <w:left w:val="none" w:sz="0" w:space="0" w:color="auto"/>
        <w:bottom w:val="none" w:sz="0" w:space="0" w:color="auto"/>
        <w:right w:val="none" w:sz="0" w:space="0" w:color="auto"/>
      </w:divBdr>
    </w:div>
    <w:div w:id="1526017608">
      <w:bodyDiv w:val="1"/>
      <w:marLeft w:val="0"/>
      <w:marRight w:val="0"/>
      <w:marTop w:val="0"/>
      <w:marBottom w:val="0"/>
      <w:divBdr>
        <w:top w:val="none" w:sz="0" w:space="0" w:color="auto"/>
        <w:left w:val="none" w:sz="0" w:space="0" w:color="auto"/>
        <w:bottom w:val="none" w:sz="0" w:space="0" w:color="auto"/>
        <w:right w:val="none" w:sz="0" w:space="0" w:color="auto"/>
      </w:divBdr>
    </w:div>
    <w:div w:id="1606307526">
      <w:bodyDiv w:val="1"/>
      <w:marLeft w:val="0"/>
      <w:marRight w:val="0"/>
      <w:marTop w:val="0"/>
      <w:marBottom w:val="0"/>
      <w:divBdr>
        <w:top w:val="none" w:sz="0" w:space="0" w:color="auto"/>
        <w:left w:val="none" w:sz="0" w:space="0" w:color="auto"/>
        <w:bottom w:val="none" w:sz="0" w:space="0" w:color="auto"/>
        <w:right w:val="none" w:sz="0" w:space="0" w:color="auto"/>
      </w:divBdr>
    </w:div>
    <w:div w:id="1674604006">
      <w:bodyDiv w:val="1"/>
      <w:marLeft w:val="0"/>
      <w:marRight w:val="0"/>
      <w:marTop w:val="0"/>
      <w:marBottom w:val="0"/>
      <w:divBdr>
        <w:top w:val="none" w:sz="0" w:space="0" w:color="auto"/>
        <w:left w:val="none" w:sz="0" w:space="0" w:color="auto"/>
        <w:bottom w:val="none" w:sz="0" w:space="0" w:color="auto"/>
        <w:right w:val="none" w:sz="0" w:space="0" w:color="auto"/>
      </w:divBdr>
    </w:div>
    <w:div w:id="1800949299">
      <w:bodyDiv w:val="1"/>
      <w:marLeft w:val="0"/>
      <w:marRight w:val="0"/>
      <w:marTop w:val="0"/>
      <w:marBottom w:val="0"/>
      <w:divBdr>
        <w:top w:val="none" w:sz="0" w:space="0" w:color="auto"/>
        <w:left w:val="none" w:sz="0" w:space="0" w:color="auto"/>
        <w:bottom w:val="none" w:sz="0" w:space="0" w:color="auto"/>
        <w:right w:val="none" w:sz="0" w:space="0" w:color="auto"/>
      </w:divBdr>
    </w:div>
    <w:div w:id="1862086508">
      <w:bodyDiv w:val="1"/>
      <w:marLeft w:val="0"/>
      <w:marRight w:val="0"/>
      <w:marTop w:val="0"/>
      <w:marBottom w:val="0"/>
      <w:divBdr>
        <w:top w:val="none" w:sz="0" w:space="0" w:color="auto"/>
        <w:left w:val="none" w:sz="0" w:space="0" w:color="auto"/>
        <w:bottom w:val="none" w:sz="0" w:space="0" w:color="auto"/>
        <w:right w:val="none" w:sz="0" w:space="0" w:color="auto"/>
      </w:divBdr>
    </w:div>
    <w:div w:id="1963269694">
      <w:bodyDiv w:val="1"/>
      <w:marLeft w:val="0"/>
      <w:marRight w:val="0"/>
      <w:marTop w:val="0"/>
      <w:marBottom w:val="0"/>
      <w:divBdr>
        <w:top w:val="none" w:sz="0" w:space="0" w:color="auto"/>
        <w:left w:val="none" w:sz="0" w:space="0" w:color="auto"/>
        <w:bottom w:val="none" w:sz="0" w:space="0" w:color="auto"/>
        <w:right w:val="none" w:sz="0" w:space="0" w:color="auto"/>
      </w:divBdr>
    </w:div>
    <w:div w:id="1998724829">
      <w:bodyDiv w:val="1"/>
      <w:marLeft w:val="0"/>
      <w:marRight w:val="0"/>
      <w:marTop w:val="0"/>
      <w:marBottom w:val="0"/>
      <w:divBdr>
        <w:top w:val="none" w:sz="0" w:space="0" w:color="auto"/>
        <w:left w:val="none" w:sz="0" w:space="0" w:color="auto"/>
        <w:bottom w:val="none" w:sz="0" w:space="0" w:color="auto"/>
        <w:right w:val="none" w:sz="0" w:space="0" w:color="auto"/>
      </w:divBdr>
    </w:div>
    <w:div w:id="203484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linmicronow.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wileydigitalarchive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rpublications.org/page/usagedat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birpublications.org/action/showLogin"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irri\AppData\Local\Microsoft\Windows\INetCache\Content.Outlook\JAGVW71Y\FY23%20PA%20for%20offline%20wo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085C9AD6C7C4A8BDF8D9035FA5F0D" ma:contentTypeVersion="4" ma:contentTypeDescription="Create a new document." ma:contentTypeScope="" ma:versionID="189df5aa3df2477c2f71d9a763063245">
  <xsd:schema xmlns:xsd="http://www.w3.org/2001/XMLSchema" xmlns:xs="http://www.w3.org/2001/XMLSchema" xmlns:p="http://schemas.microsoft.com/office/2006/metadata/properties" xmlns:ns2="d2c8fd05-975f-4351-a211-ccac28cb1fbe" targetNamespace="http://schemas.microsoft.com/office/2006/metadata/properties" ma:root="true" ma:fieldsID="d8f6348801113a638189c0c8c2182df3" ns2:_="">
    <xsd:import namespace="d2c8fd05-975f-4351-a211-ccac28cb1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8fd05-975f-4351-a211-ccac28cb1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4F52E6AA-1501-40AA-B6BD-3E687D7C5FA7}">
  <ds:schemaRefs>
    <ds:schemaRef ds:uri="http://schemas.microsoft.com/sharepoint/v3/contenttype/forms"/>
  </ds:schemaRefs>
</ds:datastoreItem>
</file>

<file path=customXml/itemProps2.xml><?xml version="1.0" encoding="utf-8"?>
<ds:datastoreItem xmlns:ds="http://schemas.openxmlformats.org/officeDocument/2006/customXml" ds:itemID="{F42AAEB7-C411-454F-B76D-F37B8B07C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8fd05-975f-4351-a211-ccac28cb1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D6510-C9A5-438D-8A29-0FDB8A6C2BF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FY23 PA for offline work</Template>
  <TotalTime>0</TotalTime>
  <Pages>12</Pages>
  <Words>3005</Words>
  <Characters>16566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03. Online Enhanced License for Academic Customers</vt:lpstr>
    </vt:vector>
  </TitlesOfParts>
  <Company>John Wiley and Sons</Company>
  <LinksUpToDate>false</LinksUpToDate>
  <CharactersWithSpaces>19532</CharactersWithSpaces>
  <SharedDoc>false</SharedDoc>
  <HLinks>
    <vt:vector size="78" baseType="variant">
      <vt:variant>
        <vt:i4>4194328</vt:i4>
      </vt:variant>
      <vt:variant>
        <vt:i4>36</vt:i4>
      </vt:variant>
      <vt:variant>
        <vt:i4>0</vt:i4>
      </vt:variant>
      <vt:variant>
        <vt:i4>5</vt:i4>
      </vt:variant>
      <vt:variant>
        <vt:lpwstr>https://www.clinmicronow.org/</vt:lpwstr>
      </vt:variant>
      <vt:variant>
        <vt:lpwstr/>
      </vt:variant>
      <vt:variant>
        <vt:i4>7340132</vt:i4>
      </vt:variant>
      <vt:variant>
        <vt:i4>33</vt:i4>
      </vt:variant>
      <vt:variant>
        <vt:i4>0</vt:i4>
      </vt:variant>
      <vt:variant>
        <vt:i4>5</vt:i4>
      </vt:variant>
      <vt:variant>
        <vt:lpwstr>http://www.rmmonline.co.uk/</vt:lpwstr>
      </vt:variant>
      <vt:variant>
        <vt:lpwstr/>
      </vt:variant>
      <vt:variant>
        <vt:i4>4718678</vt:i4>
      </vt:variant>
      <vt:variant>
        <vt:i4>30</vt:i4>
      </vt:variant>
      <vt:variant>
        <vt:i4>0</vt:i4>
      </vt:variant>
      <vt:variant>
        <vt:i4>5</vt:i4>
      </vt:variant>
      <vt:variant>
        <vt:lpwstr>http://www.wileydigitalarchives.com/</vt:lpwstr>
      </vt:variant>
      <vt:variant>
        <vt:lpwstr/>
      </vt:variant>
      <vt:variant>
        <vt:i4>3604604</vt:i4>
      </vt:variant>
      <vt:variant>
        <vt:i4>27</vt:i4>
      </vt:variant>
      <vt:variant>
        <vt:i4>0</vt:i4>
      </vt:variant>
      <vt:variant>
        <vt:i4>5</vt:i4>
      </vt:variant>
      <vt:variant>
        <vt:lpwstr>https://onlinelibrary.wiley.com/library-info/products/articleselectunavailable</vt:lpwstr>
      </vt:variant>
      <vt:variant>
        <vt:lpwstr/>
      </vt:variant>
      <vt:variant>
        <vt:i4>6160413</vt:i4>
      </vt:variant>
      <vt:variant>
        <vt:i4>24</vt:i4>
      </vt:variant>
      <vt:variant>
        <vt:i4>0</vt:i4>
      </vt:variant>
      <vt:variant>
        <vt:i4>5</vt:i4>
      </vt:variant>
      <vt:variant>
        <vt:lpwstr>http://www.essentialevidenceplus.com/</vt:lpwstr>
      </vt:variant>
      <vt:variant>
        <vt:lpwstr/>
      </vt:variant>
      <vt:variant>
        <vt:i4>3801206</vt:i4>
      </vt:variant>
      <vt:variant>
        <vt:i4>21</vt:i4>
      </vt:variant>
      <vt:variant>
        <vt:i4>0</vt:i4>
      </vt:variant>
      <vt:variant>
        <vt:i4>5</vt:i4>
      </vt:variant>
      <vt:variant>
        <vt:lpwstr>https://www.birpublications.org/page/usagedata</vt:lpwstr>
      </vt:variant>
      <vt:variant>
        <vt:lpwstr/>
      </vt:variant>
      <vt:variant>
        <vt:i4>5373958</vt:i4>
      </vt:variant>
      <vt:variant>
        <vt:i4>18</vt:i4>
      </vt:variant>
      <vt:variant>
        <vt:i4>0</vt:i4>
      </vt:variant>
      <vt:variant>
        <vt:i4>5</vt:i4>
      </vt:variant>
      <vt:variant>
        <vt:lpwstr>https://www.birpublications.org/action/showLogin</vt:lpwstr>
      </vt:variant>
      <vt:variant>
        <vt:lpwstr/>
      </vt:variant>
      <vt:variant>
        <vt:i4>3801206</vt:i4>
      </vt:variant>
      <vt:variant>
        <vt:i4>15</vt:i4>
      </vt:variant>
      <vt:variant>
        <vt:i4>0</vt:i4>
      </vt:variant>
      <vt:variant>
        <vt:i4>5</vt:i4>
      </vt:variant>
      <vt:variant>
        <vt:lpwstr>https://www.birpublications.org/page/usagedata</vt:lpwstr>
      </vt:variant>
      <vt:variant>
        <vt:lpwstr/>
      </vt:variant>
      <vt:variant>
        <vt:i4>5373958</vt:i4>
      </vt:variant>
      <vt:variant>
        <vt:i4>12</vt:i4>
      </vt:variant>
      <vt:variant>
        <vt:i4>0</vt:i4>
      </vt:variant>
      <vt:variant>
        <vt:i4>5</vt:i4>
      </vt:variant>
      <vt:variant>
        <vt:lpwstr>https://www.birpublications.org/action/showLogin</vt:lpwstr>
      </vt:variant>
      <vt:variant>
        <vt:lpwstr/>
      </vt:variant>
      <vt:variant>
        <vt:i4>5177385</vt:i4>
      </vt:variant>
      <vt:variant>
        <vt:i4>9</vt:i4>
      </vt:variant>
      <vt:variant>
        <vt:i4>0</vt:i4>
      </vt:variant>
      <vt:variant>
        <vt:i4>5</vt:i4>
      </vt:variant>
      <vt:variant>
        <vt:lpwstr>mailto:cs-journals@wiley.com</vt:lpwstr>
      </vt:variant>
      <vt:variant>
        <vt:lpwstr/>
      </vt:variant>
      <vt:variant>
        <vt:i4>3801206</vt:i4>
      </vt:variant>
      <vt:variant>
        <vt:i4>6</vt:i4>
      </vt:variant>
      <vt:variant>
        <vt:i4>0</vt:i4>
      </vt:variant>
      <vt:variant>
        <vt:i4>5</vt:i4>
      </vt:variant>
      <vt:variant>
        <vt:lpwstr>https://www.birpublications.org/page/usagedata</vt:lpwstr>
      </vt:variant>
      <vt:variant>
        <vt:lpwstr/>
      </vt:variant>
      <vt:variant>
        <vt:i4>5373958</vt:i4>
      </vt:variant>
      <vt:variant>
        <vt:i4>3</vt:i4>
      </vt:variant>
      <vt:variant>
        <vt:i4>0</vt:i4>
      </vt:variant>
      <vt:variant>
        <vt:i4>5</vt:i4>
      </vt:variant>
      <vt:variant>
        <vt:lpwstr>https://www.birpublications.org/action/showLogin</vt:lpwstr>
      </vt:variant>
      <vt:variant>
        <vt:lpwstr/>
      </vt:variant>
      <vt:variant>
        <vt:i4>1703944</vt:i4>
      </vt:variant>
      <vt:variant>
        <vt:i4>0</vt:i4>
      </vt:variant>
      <vt:variant>
        <vt:i4>0</vt:i4>
      </vt:variant>
      <vt:variant>
        <vt:i4>5</vt:i4>
      </vt:variant>
      <vt:variant>
        <vt:lpwstr>https://onlinelibrary.wiley.com/pb-assets/_PriceLists/Database_Model_Journal_List.pdf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Online Enhanced License for Academic Customers</dc:title>
  <dc:subject/>
  <dc:creator>Pirri, Concetta</dc:creator>
  <cp:keywords>company=wiley, product=journal, platform=wis, use=sales, type=licensing, year=2009, distribution=internal, owner=spreitzer, licensetype=EAC</cp:keywords>
  <dc:description>24. Online Academic License</dc:description>
  <cp:lastModifiedBy>Pirri, Concetta</cp:lastModifiedBy>
  <cp:revision>2</cp:revision>
  <cp:lastPrinted>2018-05-06T15:49:00Z</cp:lastPrinted>
  <dcterms:created xsi:type="dcterms:W3CDTF">2022-12-13T17:52:00Z</dcterms:created>
  <dcterms:modified xsi:type="dcterms:W3CDTF">2022-12-13T17:52:00Z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
  </property>
  <property fmtid="{D5CDD505-2E9C-101B-9397-08002B2CF9AE}" pid="3" name="Subject">
    <vt:lpwstr/>
  </property>
  <property fmtid="{D5CDD505-2E9C-101B-9397-08002B2CF9AE}" pid="4" name="Keywords">
    <vt:lpwstr>company=wiley, product=journal, platform=wis, use=sales, type=licensing, year=2009, distribution=internal, owner=spreitzer, licensetype=EAC </vt:lpwstr>
  </property>
  <property fmtid="{D5CDD505-2E9C-101B-9397-08002B2CF9AE}" pid="5" name="_Author">
    <vt:lpwstr>Christopher Mckenzie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24. Online Academic License</vt:lpwstr>
  </property>
  <property fmtid="{D5CDD505-2E9C-101B-9397-08002B2CF9AE}" pid="10" name="Assigned To">
    <vt:lpwstr/>
  </property>
  <property fmtid="{D5CDD505-2E9C-101B-9397-08002B2CF9AE}" pid="11" name="_dlc_DocId">
    <vt:lpwstr>EJK5UNATJDUA-3266-1611</vt:lpwstr>
  </property>
  <property fmtid="{D5CDD505-2E9C-101B-9397-08002B2CF9AE}" pid="12" name="_dlc_DocIdItemGuid">
    <vt:lpwstr>3849ab7d-ab1d-4b82-8cf2-48f3ce813980</vt:lpwstr>
  </property>
  <property fmtid="{D5CDD505-2E9C-101B-9397-08002B2CF9AE}" pid="13" name="_dlc_DocIdUrl">
    <vt:lpwstr>http://portal.wiley.com/functions/marketing/stmsmarketing/stmslibrarymarketing/pricingandlicensing/_layouts/DocIdRedir.aspx?ID=EJK5UNATJDUA-3266-1611, EJK5UNATJDUA-3266-1611</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_dlc_DocIdPersistId">
    <vt:lpwstr>1</vt:lpwstr>
  </property>
  <property fmtid="{D5CDD505-2E9C-101B-9397-08002B2CF9AE}" pid="18" name="PublishingStartDate">
    <vt:lpwstr/>
  </property>
  <property fmtid="{D5CDD505-2E9C-101B-9397-08002B2CF9AE}" pid="19" name="PublishingExpirationDate">
    <vt:lpwstr/>
  </property>
  <property fmtid="{D5CDD505-2E9C-101B-9397-08002B2CF9AE}" pid="20" name="ContentTypeId">
    <vt:lpwstr>0x010100FAA085C9AD6C7C4A8BDF8D9035FA5F0D</vt:lpwstr>
  </property>
  <property fmtid="{D5CDD505-2E9C-101B-9397-08002B2CF9AE}" pid="21" name="ProjectBusiness">
    <vt:lpwstr>STMS</vt:lpwstr>
  </property>
  <property fmtid="{D5CDD505-2E9C-101B-9397-08002B2CF9AE}" pid="22" name="ProjectLocation">
    <vt:lpwstr>GLOBAL</vt:lpwstr>
  </property>
  <property fmtid="{D5CDD505-2E9C-101B-9397-08002B2CF9AE}" pid="23" name="ComplianceAssetId">
    <vt:lpwstr/>
  </property>
  <property fmtid="{D5CDD505-2E9C-101B-9397-08002B2CF9AE}" pid="24" name="_ExtendedDescription">
    <vt:lpwstr/>
  </property>
</Properties>
</file>